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pt;height:136.8pt;mso-position-horizontal-relative:page;mso-position-vertical-relative:page;z-index:15728640" id="docshapegroup3" coordorigin="0,0" coordsize="12240,2736">
            <v:shape style="position:absolute;left:0;top:0;width:12240;height:2736" id="docshape4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id="docshape5" stroked="false">
              <v:imagedata r:id="rId6" o:title=""/>
            </v:shape>
            <v:shape style="position:absolute;left:0;top:0;width:12240;height:2736" type="#_x0000_t202" id="docshape6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53"/>
                      </w:rPr>
                    </w:pPr>
                  </w:p>
                  <w:p>
                    <w:pPr>
                      <w:spacing w:line="201" w:lineRule="auto" w:before="0"/>
                      <w:ind w:left="4216" w:right="0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8"/>
                        <w:sz w:val="36"/>
                      </w:rPr>
                      <w:t>Approaches to Foreign Policy: Identifying</w:t>
                    </w:r>
                    <w:r>
                      <w:rPr>
                        <w:rFonts w:ascii="Larsseit-Light"/>
                        <w:color w:val="0E2848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Approaches</w:t>
                    </w:r>
                    <w:r>
                      <w:rPr>
                        <w:rFonts w:ascii="Larsseit-Light"/>
                        <w:color w:val="0E2848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to</w:t>
                    </w:r>
                    <w:r>
                      <w:rPr>
                        <w:rFonts w:ascii="Larsseit-Light"/>
                        <w:color w:val="0E2848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Foreign</w:t>
                    </w:r>
                    <w:r>
                      <w:rPr>
                        <w:rFonts w:ascii="Larsseit-Light"/>
                        <w:color w:val="0E2848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Policy</w:t>
                    </w:r>
                    <w:r>
                      <w:rPr>
                        <w:rFonts w:ascii="Larsseit-Light"/>
                        <w:color w:val="0E2848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in</w:t>
                    </w:r>
                    <w:r>
                      <w:rPr>
                        <w:rFonts w:ascii="Larsseit-Light"/>
                        <w:color w:val="0E2848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Party</w:t>
                    </w:r>
                    <w:r>
                      <w:rPr>
                        <w:rFonts w:ascii="Larsseit-Light"/>
                        <w:color w:val="0E2848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Platforms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Heading1"/>
        <w:spacing w:before="43"/>
      </w:pPr>
      <w:r>
        <w:rPr>
          <w:color w:val="0E2848"/>
        </w:rPr>
        <w:t>Overview:</w:t>
      </w:r>
    </w:p>
    <w:p>
      <w:pPr>
        <w:pStyle w:val="BodyText"/>
        <w:spacing w:line="259" w:lineRule="auto" w:before="84"/>
        <w:ind w:left="2889" w:right="3457"/>
      </w:pPr>
      <w:r>
        <w:rPr>
          <w:color w:val="4B525D"/>
        </w:rPr>
        <w:t>Students will read and analyze party platforms, looking for evidence of</w:t>
      </w:r>
      <w:r>
        <w:rPr>
          <w:color w:val="4B525D"/>
          <w:spacing w:val="-39"/>
        </w:rPr>
        <w:t> </w:t>
      </w:r>
      <w:r>
        <w:rPr>
          <w:color w:val="4B525D"/>
        </w:rPr>
        <w:t>various</w:t>
      </w:r>
      <w:r>
        <w:rPr>
          <w:color w:val="4B525D"/>
          <w:spacing w:val="-2"/>
        </w:rPr>
        <w:t> </w:t>
      </w:r>
      <w:r>
        <w:rPr>
          <w:color w:val="4B525D"/>
        </w:rPr>
        <w:t>approaches</w:t>
      </w:r>
      <w:r>
        <w:rPr>
          <w:color w:val="4B525D"/>
          <w:spacing w:val="-1"/>
        </w:rPr>
        <w:t> </w:t>
      </w:r>
      <w:r>
        <w:rPr>
          <w:color w:val="4B525D"/>
        </w:rPr>
        <w:t>to</w:t>
      </w:r>
      <w:r>
        <w:rPr>
          <w:color w:val="4B525D"/>
          <w:spacing w:val="-1"/>
        </w:rPr>
        <w:t> </w:t>
      </w:r>
      <w:r>
        <w:rPr>
          <w:color w:val="4B525D"/>
        </w:rPr>
        <w:t>foreign policy.</w:t>
      </w:r>
    </w:p>
    <w:p>
      <w:pPr>
        <w:pStyle w:val="Heading1"/>
      </w:pPr>
      <w:r>
        <w:rPr>
          <w:color w:val="0E2848"/>
        </w:rPr>
        <w:t>Length</w:t>
      </w:r>
    </w:p>
    <w:p>
      <w:pPr>
        <w:pStyle w:val="BodyText"/>
        <w:spacing w:before="85"/>
        <w:ind w:left="2889"/>
      </w:pPr>
      <w:r>
        <w:rPr>
          <w:color w:val="4B525D"/>
        </w:rPr>
        <w:t>One</w:t>
      </w:r>
      <w:r>
        <w:rPr>
          <w:color w:val="4B525D"/>
          <w:spacing w:val="-6"/>
        </w:rPr>
        <w:t> </w:t>
      </w:r>
      <w:r>
        <w:rPr>
          <w:color w:val="4B525D"/>
        </w:rPr>
        <w:t>class.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1"/>
      </w:pPr>
      <w:r>
        <w:rPr>
          <w:color w:val="0E2848"/>
        </w:rPr>
        <w:t>Materials: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5" w:after="0"/>
        <w:ind w:left="3590" w:right="0" w:hanging="361"/>
        <w:jc w:val="left"/>
        <w:rPr>
          <w:sz w:val="20"/>
        </w:rPr>
      </w:pPr>
      <w:r>
        <w:rPr>
          <w:color w:val="4B525D"/>
          <w:sz w:val="20"/>
        </w:rPr>
        <w:t>Isolationism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Versus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Engagement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25" w:after="0"/>
        <w:ind w:left="3590" w:right="0" w:hanging="361"/>
        <w:jc w:val="left"/>
        <w:rPr>
          <w:sz w:val="20"/>
        </w:rPr>
      </w:pPr>
      <w:r>
        <w:rPr>
          <w:color w:val="4B525D"/>
          <w:sz w:val="20"/>
        </w:rPr>
        <w:t>Unilateralism</w:t>
      </w:r>
      <w:r>
        <w:rPr>
          <w:color w:val="4B525D"/>
          <w:spacing w:val="-6"/>
          <w:sz w:val="20"/>
        </w:rPr>
        <w:t> </w:t>
      </w:r>
      <w:r>
        <w:rPr>
          <w:color w:val="4B525D"/>
          <w:sz w:val="20"/>
        </w:rPr>
        <w:t>Versus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Multilateralism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26" w:after="0"/>
        <w:ind w:left="3590" w:right="0" w:hanging="361"/>
        <w:jc w:val="left"/>
        <w:rPr>
          <w:sz w:val="20"/>
        </w:rPr>
      </w:pPr>
      <w:r>
        <w:rPr>
          <w:color w:val="4B525D"/>
          <w:sz w:val="20"/>
        </w:rPr>
        <w:t>Idealism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Versus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Realism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9" w:lineRule="auto" w:before="26" w:after="0"/>
        <w:ind w:left="3590" w:right="3242" w:hanging="361"/>
        <w:jc w:val="left"/>
        <w:rPr>
          <w:sz w:val="20"/>
        </w:rPr>
      </w:pPr>
      <w:r>
        <w:rPr>
          <w:color w:val="4B525D"/>
          <w:sz w:val="20"/>
        </w:rPr>
        <w:t>The text of one or more political party platforms (</w:t>
      </w:r>
      <w:hyperlink r:id="rId7">
        <w:r>
          <w:rPr>
            <w:color w:val="0000FF"/>
            <w:sz w:val="20"/>
            <w:u w:val="single" w:color="0000FF"/>
          </w:rPr>
          <w:t>find U.S. party</w:t>
        </w:r>
      </w:hyperlink>
      <w:r>
        <w:rPr>
          <w:color w:val="0000FF"/>
          <w:spacing w:val="1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platforms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going</w:t>
        </w:r>
        <w:r>
          <w:rPr>
            <w:color w:val="0000FF"/>
            <w:spacing w:val="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back to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1840 here</w:t>
        </w:r>
      </w:hyperlink>
      <w:r>
        <w:rPr>
          <w:color w:val="4B525D"/>
          <w:sz w:val="20"/>
        </w:rPr>
        <w:t>)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9" w:lineRule="auto" w:before="5" w:after="0"/>
        <w:ind w:left="3590" w:right="3257" w:hanging="360"/>
        <w:jc w:val="left"/>
        <w:rPr>
          <w:sz w:val="20"/>
        </w:rPr>
      </w:pPr>
      <w:r>
        <w:rPr>
          <w:color w:val="4B525D"/>
          <w:sz w:val="20"/>
        </w:rPr>
        <w:t>A tool allowing a group to annotate and comment, such as</w:t>
      </w:r>
      <w:r>
        <w:rPr>
          <w:color w:val="0000FF"/>
          <w:spacing w:val="1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hypothes.is</w:t>
        </w:r>
        <w:r>
          <w:rPr>
            <w:color w:val="4B525D"/>
            <w:sz w:val="20"/>
          </w:rPr>
          <w:t>,</w:t>
        </w:r>
        <w:r>
          <w:rPr>
            <w:color w:val="4B525D"/>
            <w:spacing w:val="-3"/>
            <w:sz w:val="20"/>
          </w:rPr>
          <w:t> </w:t>
        </w:r>
      </w:hyperlink>
      <w:r>
        <w:rPr>
          <w:color w:val="4B525D"/>
          <w:sz w:val="20"/>
        </w:rPr>
        <w:t>Google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Docs,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or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a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printed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version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of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platform(s)</w:t>
      </w:r>
      <w:r>
        <w:rPr>
          <w:color w:val="4B525D"/>
          <w:spacing w:val="-37"/>
          <w:sz w:val="20"/>
        </w:rPr>
        <w:t> </w:t>
      </w:r>
      <w:r>
        <w:rPr>
          <w:color w:val="4B525D"/>
          <w:sz w:val="20"/>
        </w:rPr>
        <w:t>used,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along with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highlighters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and</w:t>
      </w:r>
      <w:r>
        <w:rPr>
          <w:color w:val="4B525D"/>
          <w:spacing w:val="2"/>
          <w:sz w:val="20"/>
        </w:rPr>
        <w:t> </w:t>
      </w:r>
      <w:r>
        <w:rPr>
          <w:color w:val="4B525D"/>
          <w:sz w:val="20"/>
        </w:rPr>
        <w:t>sticky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notes</w:t>
      </w:r>
    </w:p>
    <w:p>
      <w:pPr>
        <w:pStyle w:val="Heading1"/>
      </w:pPr>
      <w:r>
        <w:rPr>
          <w:color w:val="0E2848"/>
        </w:rPr>
        <w:t>Instructional</w:t>
      </w:r>
      <w:r>
        <w:rPr>
          <w:color w:val="0E2848"/>
          <w:spacing w:val="-1"/>
        </w:rPr>
        <w:t> </w:t>
      </w:r>
      <w:r>
        <w:rPr>
          <w:color w:val="0E2848"/>
        </w:rPr>
        <w:t>Plan:</w:t>
      </w:r>
    </w:p>
    <w:p>
      <w:pPr>
        <w:pStyle w:val="ListParagraph"/>
        <w:numPr>
          <w:ilvl w:val="0"/>
          <w:numId w:val="2"/>
        </w:numPr>
        <w:tabs>
          <w:tab w:pos="3590" w:val="left" w:leader="none"/>
          <w:tab w:pos="3591" w:val="left" w:leader="none"/>
        </w:tabs>
        <w:spacing w:line="240" w:lineRule="auto" w:before="5" w:after="0"/>
        <w:ind w:left="3590" w:right="0" w:hanging="361"/>
        <w:jc w:val="left"/>
        <w:rPr>
          <w:sz w:val="20"/>
        </w:rPr>
      </w:pPr>
      <w:r>
        <w:rPr>
          <w:color w:val="4B525D"/>
          <w:sz w:val="20"/>
        </w:rPr>
        <w:t>Have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students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read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about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approaches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to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foreign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policy.</w:t>
      </w:r>
    </w:p>
    <w:p>
      <w:pPr>
        <w:pStyle w:val="ListParagraph"/>
        <w:numPr>
          <w:ilvl w:val="0"/>
          <w:numId w:val="2"/>
        </w:numPr>
        <w:tabs>
          <w:tab w:pos="3590" w:val="left" w:leader="none"/>
          <w:tab w:pos="3591" w:val="left" w:leader="none"/>
        </w:tabs>
        <w:spacing w:line="259" w:lineRule="auto" w:before="26" w:after="0"/>
        <w:ind w:left="3590" w:right="3111" w:hanging="360"/>
        <w:jc w:val="left"/>
        <w:rPr>
          <w:sz w:val="20"/>
        </w:rPr>
      </w:pPr>
      <w:r>
        <w:rPr>
          <w:color w:val="4B525D"/>
          <w:sz w:val="20"/>
        </w:rPr>
        <w:t>Select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one or more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party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platforms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to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use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and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prepare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it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in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tool</w:t>
      </w:r>
      <w:r>
        <w:rPr>
          <w:color w:val="4B525D"/>
          <w:spacing w:val="-37"/>
          <w:sz w:val="20"/>
        </w:rPr>
        <w:t> </w:t>
      </w:r>
      <w:r>
        <w:rPr>
          <w:color w:val="4B525D"/>
          <w:sz w:val="20"/>
        </w:rPr>
        <w:t>of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your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choice.</w:t>
      </w:r>
    </w:p>
    <w:p>
      <w:pPr>
        <w:pStyle w:val="ListParagraph"/>
        <w:numPr>
          <w:ilvl w:val="1"/>
          <w:numId w:val="2"/>
        </w:numPr>
        <w:tabs>
          <w:tab w:pos="4310" w:val="left" w:leader="none"/>
          <w:tab w:pos="4311" w:val="left" w:leader="none"/>
        </w:tabs>
        <w:spacing w:line="240" w:lineRule="auto" w:before="3" w:after="0"/>
        <w:ind w:left="4310" w:right="0" w:hanging="361"/>
        <w:jc w:val="left"/>
        <w:rPr>
          <w:sz w:val="20"/>
        </w:rPr>
      </w:pPr>
      <w:r>
        <w:rPr>
          <w:color w:val="4B525D"/>
          <w:sz w:val="20"/>
        </w:rPr>
        <w:t>Open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platform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in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hypothes.is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and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share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with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students.</w:t>
      </w:r>
    </w:p>
    <w:p>
      <w:pPr>
        <w:pStyle w:val="ListParagraph"/>
        <w:numPr>
          <w:ilvl w:val="1"/>
          <w:numId w:val="2"/>
        </w:numPr>
        <w:tabs>
          <w:tab w:pos="4310" w:val="left" w:leader="none"/>
          <w:tab w:pos="4311" w:val="left" w:leader="none"/>
        </w:tabs>
        <w:spacing w:line="259" w:lineRule="auto" w:before="28" w:after="0"/>
        <w:ind w:left="4310" w:right="3563" w:hanging="360"/>
        <w:jc w:val="left"/>
        <w:rPr>
          <w:sz w:val="20"/>
        </w:rPr>
      </w:pPr>
      <w:r>
        <w:rPr>
          <w:color w:val="4B525D"/>
          <w:sz w:val="20"/>
        </w:rPr>
        <w:t>Paste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platform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into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Google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Doc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and share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with</w:t>
      </w:r>
      <w:r>
        <w:rPr>
          <w:color w:val="4B525D"/>
          <w:spacing w:val="-37"/>
          <w:sz w:val="20"/>
        </w:rPr>
        <w:t> </w:t>
      </w:r>
      <w:r>
        <w:rPr>
          <w:color w:val="4B525D"/>
          <w:sz w:val="20"/>
        </w:rPr>
        <w:t>students.</w:t>
      </w:r>
    </w:p>
    <w:p>
      <w:pPr>
        <w:pStyle w:val="ListParagraph"/>
        <w:numPr>
          <w:ilvl w:val="1"/>
          <w:numId w:val="2"/>
        </w:numPr>
        <w:tabs>
          <w:tab w:pos="4310" w:val="left" w:leader="none"/>
          <w:tab w:pos="4311" w:val="left" w:leader="none"/>
        </w:tabs>
        <w:spacing w:line="259" w:lineRule="auto" w:before="5" w:after="0"/>
        <w:ind w:left="4310" w:right="3082" w:hanging="360"/>
        <w:jc w:val="left"/>
        <w:rPr>
          <w:sz w:val="20"/>
        </w:rPr>
      </w:pPr>
      <w:r>
        <w:rPr>
          <w:color w:val="4B525D"/>
          <w:sz w:val="20"/>
        </w:rPr>
        <w:t>Print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platform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and,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if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possible,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pin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it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to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wall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or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tape</w:t>
      </w:r>
      <w:r>
        <w:rPr>
          <w:color w:val="4B525D"/>
          <w:spacing w:val="-37"/>
          <w:sz w:val="20"/>
        </w:rPr>
        <w:t> </w:t>
      </w:r>
      <w:r>
        <w:rPr>
          <w:color w:val="4B525D"/>
          <w:sz w:val="20"/>
        </w:rPr>
        <w:t>it to a table so that students can spread out and work on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different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pages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simultaneously.</w:t>
      </w:r>
    </w:p>
    <w:p>
      <w:pPr>
        <w:pStyle w:val="ListParagraph"/>
        <w:numPr>
          <w:ilvl w:val="0"/>
          <w:numId w:val="2"/>
        </w:numPr>
        <w:tabs>
          <w:tab w:pos="3590" w:val="left" w:leader="none"/>
          <w:tab w:pos="3591" w:val="left" w:leader="none"/>
        </w:tabs>
        <w:spacing w:line="259" w:lineRule="auto" w:before="3" w:after="0"/>
        <w:ind w:left="3590" w:right="3195" w:hanging="360"/>
        <w:jc w:val="left"/>
        <w:rPr>
          <w:sz w:val="20"/>
        </w:rPr>
      </w:pPr>
      <w:r>
        <w:rPr>
          <w:color w:val="4B525D"/>
          <w:sz w:val="20"/>
        </w:rPr>
        <w:t>Have each student start in a different part of the document. When</w:t>
      </w:r>
      <w:r>
        <w:rPr>
          <w:color w:val="4B525D"/>
          <w:spacing w:val="-38"/>
          <w:sz w:val="20"/>
        </w:rPr>
        <w:t> </w:t>
      </w:r>
      <w:r>
        <w:rPr>
          <w:color w:val="4B525D"/>
          <w:sz w:val="20"/>
        </w:rPr>
        <w:t>they have finished with their part, they should move on to other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parts,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reviewing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and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interacting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with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their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classmates’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work.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Here</w:t>
      </w:r>
      <w:r>
        <w:rPr>
          <w:color w:val="4B525D"/>
          <w:spacing w:val="-37"/>
          <w:sz w:val="20"/>
        </w:rPr>
        <w:t> </w:t>
      </w:r>
      <w:r>
        <w:rPr>
          <w:color w:val="4B525D"/>
          <w:sz w:val="20"/>
        </w:rPr>
        <w:t>are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some possibilities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for</w:t>
      </w:r>
      <w:r>
        <w:rPr>
          <w:color w:val="4B525D"/>
          <w:spacing w:val="2"/>
          <w:sz w:val="20"/>
        </w:rPr>
        <w:t> </w:t>
      </w:r>
      <w:r>
        <w:rPr>
          <w:color w:val="4B525D"/>
          <w:sz w:val="20"/>
        </w:rPr>
        <w:t>marking up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text:</w:t>
      </w:r>
    </w:p>
    <w:p>
      <w:pPr>
        <w:pStyle w:val="ListParagraph"/>
        <w:numPr>
          <w:ilvl w:val="1"/>
          <w:numId w:val="2"/>
        </w:numPr>
        <w:tabs>
          <w:tab w:pos="4309" w:val="left" w:leader="none"/>
          <w:tab w:pos="4311" w:val="left" w:leader="none"/>
        </w:tabs>
        <w:spacing w:line="259" w:lineRule="auto" w:before="6" w:after="0"/>
        <w:ind w:left="4310" w:right="3230" w:hanging="360"/>
        <w:jc w:val="left"/>
        <w:rPr>
          <w:sz w:val="20"/>
        </w:rPr>
      </w:pPr>
      <w:r>
        <w:rPr>
          <w:color w:val="4B525D"/>
          <w:sz w:val="20"/>
        </w:rPr>
        <w:t>Choose a different color for isolation, engagement,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unilateralism,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multilateralism,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idealism,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and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realism.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Ask</w:t>
      </w:r>
    </w:p>
    <w:p>
      <w:pPr>
        <w:spacing w:after="0" w:line="259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700" w:header="0" w:top="0" w:bottom="1900" w:left="0" w:right="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59" w:lineRule="auto" w:before="100"/>
        <w:ind w:left="4310" w:right="2474"/>
      </w:pPr>
      <w:r>
        <w:rPr/>
        <w:pict>
          <v:group style="position:absolute;margin-left:0pt;margin-top:-160.360306pt;width:612pt;height:136pt;mso-position-horizontal-relative:page;mso-position-vertical-relative:paragraph;z-index:15729152" id="docshapegroup7" coordorigin="0,-3207" coordsize="12240,2720">
            <v:shape style="position:absolute;left:0;top:-3208;width:12240;height:2720" id="docshape8" coordorigin="0,-3207" coordsize="12240,2720" path="m12240,-3207l0,-3207,0,-487,12240,-1529,12240,-3207xe" filled="true" fillcolor="#e8f5f6" stroked="false">
              <v:path arrowok="t"/>
              <v:fill type="solid"/>
            </v:shape>
            <v:shape style="position:absolute;left:0;top:-3208;width:12240;height:2720" type="#_x0000_t202" id="docshape9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52"/>
                      </w:rPr>
                    </w:pPr>
                  </w:p>
                  <w:p>
                    <w:pPr>
                      <w:spacing w:line="199" w:lineRule="auto" w:before="0"/>
                      <w:ind w:left="787" w:right="4186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8"/>
                        <w:sz w:val="36"/>
                      </w:rPr>
                      <w:t>Approaches to Foreign Policy: Identifying</w:t>
                    </w:r>
                    <w:r>
                      <w:rPr>
                        <w:rFonts w:ascii="Larsseit-Light"/>
                        <w:color w:val="0E2848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Approaches</w:t>
                    </w:r>
                    <w:r>
                      <w:rPr>
                        <w:rFonts w:ascii="Larsseit-Light"/>
                        <w:color w:val="0E2848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to</w:t>
                    </w:r>
                    <w:r>
                      <w:rPr>
                        <w:rFonts w:ascii="Larsseit-Light"/>
                        <w:color w:val="0E2848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Foreign</w:t>
                    </w:r>
                    <w:r>
                      <w:rPr>
                        <w:rFonts w:ascii="Larsseit-Light"/>
                        <w:color w:val="0E2848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Policy</w:t>
                    </w:r>
                    <w:r>
                      <w:rPr>
                        <w:rFonts w:ascii="Larsseit-Light"/>
                        <w:color w:val="0E2848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in</w:t>
                    </w:r>
                    <w:r>
                      <w:rPr>
                        <w:rFonts w:ascii="Larsseit-Light"/>
                        <w:color w:val="0E2848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Party</w:t>
                    </w:r>
                    <w:r>
                      <w:rPr>
                        <w:rFonts w:ascii="Larsseit-Light"/>
                        <w:color w:val="0E2848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Platforms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B525D"/>
        </w:rPr>
        <w:t>students</w:t>
      </w:r>
      <w:r>
        <w:rPr>
          <w:color w:val="4B525D"/>
          <w:spacing w:val="-4"/>
        </w:rPr>
        <w:t> </w:t>
      </w:r>
      <w:r>
        <w:rPr>
          <w:color w:val="4B525D"/>
        </w:rPr>
        <w:t>to</w:t>
      </w:r>
      <w:r>
        <w:rPr>
          <w:color w:val="4B525D"/>
          <w:spacing w:val="-3"/>
        </w:rPr>
        <w:t> </w:t>
      </w:r>
      <w:r>
        <w:rPr>
          <w:color w:val="4B525D"/>
        </w:rPr>
        <w:t>highlight</w:t>
      </w:r>
      <w:r>
        <w:rPr>
          <w:color w:val="4B525D"/>
          <w:spacing w:val="-3"/>
        </w:rPr>
        <w:t> </w:t>
      </w:r>
      <w:r>
        <w:rPr>
          <w:color w:val="4B525D"/>
        </w:rPr>
        <w:t>instances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-3"/>
        </w:rPr>
        <w:t> </w:t>
      </w:r>
      <w:r>
        <w:rPr>
          <w:color w:val="4B525D"/>
        </w:rPr>
        <w:t>each</w:t>
      </w:r>
      <w:r>
        <w:rPr>
          <w:color w:val="4B525D"/>
          <w:spacing w:val="-2"/>
        </w:rPr>
        <w:t> </w:t>
      </w:r>
      <w:r>
        <w:rPr>
          <w:color w:val="4B525D"/>
        </w:rPr>
        <w:t>approach</w:t>
      </w:r>
      <w:r>
        <w:rPr>
          <w:color w:val="4B525D"/>
          <w:spacing w:val="-1"/>
        </w:rPr>
        <w:t> </w:t>
      </w:r>
      <w:r>
        <w:rPr>
          <w:color w:val="4B525D"/>
        </w:rPr>
        <w:t>in</w:t>
      </w:r>
      <w:r>
        <w:rPr>
          <w:color w:val="4B525D"/>
          <w:spacing w:val="-3"/>
        </w:rPr>
        <w:t> </w:t>
      </w:r>
      <w:r>
        <w:rPr>
          <w:color w:val="4B525D"/>
        </w:rPr>
        <w:t>the</w:t>
      </w:r>
      <w:r>
        <w:rPr>
          <w:color w:val="4B525D"/>
          <w:spacing w:val="-37"/>
        </w:rPr>
        <w:t> </w:t>
      </w:r>
      <w:r>
        <w:rPr>
          <w:color w:val="4B525D"/>
        </w:rPr>
        <w:t>appropriate</w:t>
      </w:r>
      <w:r>
        <w:rPr>
          <w:color w:val="4B525D"/>
          <w:spacing w:val="-1"/>
        </w:rPr>
        <w:t> </w:t>
      </w:r>
      <w:r>
        <w:rPr>
          <w:color w:val="4B525D"/>
        </w:rPr>
        <w:t>color.</w:t>
      </w:r>
    </w:p>
    <w:p>
      <w:pPr>
        <w:pStyle w:val="ListParagraph"/>
        <w:numPr>
          <w:ilvl w:val="1"/>
          <w:numId w:val="2"/>
        </w:numPr>
        <w:tabs>
          <w:tab w:pos="4310" w:val="left" w:leader="none"/>
          <w:tab w:pos="4311" w:val="left" w:leader="none"/>
        </w:tabs>
        <w:spacing w:line="259" w:lineRule="auto" w:before="5" w:after="0"/>
        <w:ind w:left="4310" w:right="3540" w:hanging="360"/>
        <w:jc w:val="left"/>
        <w:rPr>
          <w:sz w:val="20"/>
        </w:rPr>
      </w:pPr>
      <w:r>
        <w:rPr>
          <w:color w:val="4B525D"/>
          <w:sz w:val="20"/>
        </w:rPr>
        <w:t>Annotate examples of each approach, identifying the</w:t>
      </w:r>
      <w:r>
        <w:rPr>
          <w:color w:val="4B525D"/>
          <w:spacing w:val="-38"/>
          <w:sz w:val="20"/>
        </w:rPr>
        <w:t> </w:t>
      </w:r>
      <w:r>
        <w:rPr>
          <w:color w:val="4B525D"/>
          <w:sz w:val="20"/>
        </w:rPr>
        <w:t>approach expressed.</w:t>
      </w:r>
    </w:p>
    <w:p>
      <w:pPr>
        <w:pStyle w:val="ListParagraph"/>
        <w:numPr>
          <w:ilvl w:val="1"/>
          <w:numId w:val="2"/>
        </w:numPr>
        <w:tabs>
          <w:tab w:pos="4310" w:val="left" w:leader="none"/>
          <w:tab w:pos="4311" w:val="left" w:leader="none"/>
        </w:tabs>
        <w:spacing w:line="259" w:lineRule="auto" w:before="5" w:after="0"/>
        <w:ind w:left="4310" w:right="3089" w:hanging="360"/>
        <w:jc w:val="left"/>
        <w:rPr>
          <w:sz w:val="20"/>
        </w:rPr>
      </w:pPr>
      <w:r>
        <w:rPr>
          <w:color w:val="4B525D"/>
          <w:sz w:val="20"/>
        </w:rPr>
        <w:t>Justify in an annotation why the passage is an example of a</w:t>
      </w:r>
      <w:r>
        <w:rPr>
          <w:color w:val="4B525D"/>
          <w:spacing w:val="-39"/>
          <w:sz w:val="20"/>
        </w:rPr>
        <w:t> </w:t>
      </w:r>
      <w:r>
        <w:rPr>
          <w:color w:val="4B525D"/>
          <w:sz w:val="20"/>
        </w:rPr>
        <w:t>specific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approach.</w:t>
      </w:r>
    </w:p>
    <w:p>
      <w:pPr>
        <w:pStyle w:val="ListParagraph"/>
        <w:numPr>
          <w:ilvl w:val="0"/>
          <w:numId w:val="2"/>
        </w:numPr>
        <w:tabs>
          <w:tab w:pos="3590" w:val="left" w:leader="none"/>
          <w:tab w:pos="3591" w:val="left" w:leader="none"/>
        </w:tabs>
        <w:spacing w:line="259" w:lineRule="auto" w:before="5" w:after="0"/>
        <w:ind w:left="3590" w:right="2973" w:hanging="360"/>
        <w:jc w:val="left"/>
        <w:rPr>
          <w:sz w:val="20"/>
        </w:rPr>
      </w:pPr>
      <w:r>
        <w:rPr>
          <w:color w:val="4B525D"/>
          <w:sz w:val="20"/>
        </w:rPr>
        <w:t>After students have finished marking up the document, discuss what</w:t>
      </w:r>
      <w:r>
        <w:rPr>
          <w:color w:val="4B525D"/>
          <w:spacing w:val="-38"/>
          <w:sz w:val="20"/>
        </w:rPr>
        <w:t> </w:t>
      </w:r>
      <w:r>
        <w:rPr>
          <w:color w:val="4B525D"/>
          <w:sz w:val="20"/>
        </w:rPr>
        <w:t>patterns they notice. Do some approaches dominate? Are there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places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where the platform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steers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a middle path?</w:t>
      </w:r>
    </w:p>
    <w:sectPr>
      <w:pgSz w:w="12240" w:h="15840"/>
      <w:pgMar w:header="0" w:footer="1700" w:top="0" w:bottom="19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rsseit-Light">
    <w:altName w:val="Larsseit-Light"/>
    <w:charset w:val="0"/>
    <w:family w:val="roman"/>
    <w:pitch w:val="variable"/>
  </w:font>
  <w:font w:name="Larsseit">
    <w:altName w:val="Larssei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692.999573pt;width:612pt;height:99pt;mso-position-horizontal-relative:page;mso-position-vertical-relative:page;z-index:-15783936" id="docshape1" coordorigin="0,13860" coordsize="12240,1980" path="m12240,13860l0,14903,0,15840,12240,15840,12240,13860xe" filled="true" fillcolor="#e8f5f6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.159973pt;margin-top:744.361755pt;width:10.5pt;height:11.05pt;mso-position-horizontal-relative:page;mso-position-vertical-relative:page;z-index:-15783424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Larssei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90" w:hanging="360"/>
        <w:jc w:val="left"/>
      </w:pPr>
      <w:rPr>
        <w:rFonts w:hint="default" w:ascii="Haarlemmer MT" w:hAnsi="Haarlemmer MT" w:eastAsia="Haarlemmer MT" w:cs="Haarlemmer MT"/>
        <w:b w:val="0"/>
        <w:bCs w:val="0"/>
        <w:i w:val="0"/>
        <w:iCs w:val="0"/>
        <w:color w:val="4B525D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1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B525D"/>
        <w:w w:val="13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8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59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B525D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51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28"/>
      <w:ind w:left="2889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3590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presidency.ucsb.edu/documents/presidential-documents-archive-guidebook/party-platforms-and-nominating-conventions-3" TargetMode="External"/><Relationship Id="rId8" Type="http://schemas.openxmlformats.org/officeDocument/2006/relationships/hyperlink" Target="http://hypothes.is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</dc:creator>
  <dcterms:created xsi:type="dcterms:W3CDTF">2021-10-15T17:54:15Z</dcterms:created>
  <dcterms:modified xsi:type="dcterms:W3CDTF">2021-10-15T17:54:15Z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