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692.956787pt;width:612pt;height:99.05pt;mso-position-horizontal-relative:page;mso-position-vertical-relative:page;z-index:15728640" coordorigin="0,13859" coordsize="12240,1981">
            <v:shape style="position:absolute;left:0;top:13859;width:12240;height:1981" coordorigin="0,13859" coordsize="12240,1981" path="m12239,13859l0,14906,0,15839,12239,15839,12239,13859xe" filled="true" fillcolor="#e7f4f5" stroked="false">
              <v:path arrowok="t"/>
              <v:fill type="solid"/>
            </v:shape>
            <v:shape style="position:absolute;left:10044;top:14492;width:415;height:300" coordorigin="10044,14492" coordsize="415,300" path="m10106,14492l10044,14492,10135,14792,10197,14792,10223,14705,10167,14705,10163,14683,10106,14492xm10309,14599l10252,14599,10256,14620,10306,14792,10368,14792,10395,14705,10336,14705,10333,14683,10309,14599xm10279,14492l10225,14492,10171,14683,10167,14705,10223,14705,10248,14620,10252,14599,10309,14599,10279,14492xm10459,14492l10397,14492,10341,14683,10336,14705,10395,14705,10459,14492xe" filled="true" fillcolor="#10355a" stroked="false">
              <v:path arrowok="t"/>
              <v:fill type="solid"/>
            </v:shape>
            <v:shape style="position:absolute;left:10516;top:14482;width:462;height:310" coordorigin="10516,14482" coordsize="462,310" path="m10607,14488l10585,14488,10577,14505,10565,14515,10545,14520,10516,14522,10516,14546,10579,14546,10579,14786,10607,14786,10607,14488xm10759,14482l10717,14493,10686,14524,10668,14573,10661,14637,10668,14700,10686,14749,10717,14781,10759,14792,10800,14781,10815,14766,10759,14766,10729,14756,10707,14730,10694,14690,10690,14637,10694,14584,10707,14543,10729,14518,10759,14508,10815,14508,10800,14493,10759,14482xm10827,14520l10827,14637,10823,14690,10810,14730,10789,14756,10759,14766,10815,14766,10831,14749,10850,14700,10856,14637,10850,14573,10831,14524,10827,14520xm10815,14508l10759,14508,10789,14518,10810,14543,10823,14584,10827,14637,10827,14520,10815,14508xm10978,14488l10955,14488,10948,14505,10935,14515,10916,14520,10887,14522,10887,14546,10950,14546,10950,14786,10978,14786,10978,14488xe" filled="true" fillcolor="#f27234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396;top:14874;width:74;height:18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color w:val="0D2748"/>
                        <w:w w:val="69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612.050pt;height:136.85pt;mso-position-horizontal-relative:page;mso-position-vertical-relative:page;z-index:-15758848" coordorigin="0,0" coordsize="12241,2737">
            <v:shape style="position:absolute;left:0;top:0;width:12241;height:2737" coordorigin="0,0" coordsize="12241,2737" path="m12241,0l0,0,0,2737,12241,1693,12241,0xe" filled="true" fillcolor="#e7f4f5" stroked="false">
              <v:path arrowok="t"/>
              <v:fill type="solid"/>
            </v:shape>
            <v:shape style="position:absolute;left:804;top:743;width:2254;height:647" type="#_x0000_t75" stroked="false">
              <v:imagedata r:id="rId5" o:title=""/>
            </v:shape>
            <w10:wrap type="none"/>
          </v:group>
        </w:pict>
      </w:r>
    </w:p>
    <w:p>
      <w:pPr>
        <w:pStyle w:val="BodyText"/>
        <w:spacing w:before="2"/>
        <w:rPr>
          <w:rFonts w:ascii="Times New Roman"/>
          <w:sz w:val="25"/>
        </w:rPr>
      </w:pPr>
    </w:p>
    <w:p>
      <w:pPr>
        <w:pStyle w:val="Title"/>
      </w:pPr>
      <w:r>
        <w:rPr>
          <w:color w:val="0D2748"/>
        </w:rPr>
        <w:t>Global</w:t>
      </w:r>
      <w:r>
        <w:rPr>
          <w:color w:val="0D2748"/>
          <w:spacing w:val="-3"/>
        </w:rPr>
        <w:t> </w:t>
      </w:r>
      <w:r>
        <w:rPr>
          <w:color w:val="0D2748"/>
        </w:rPr>
        <w:t>Era:</w:t>
      </w:r>
      <w:r>
        <w:rPr>
          <w:color w:val="0D2748"/>
          <w:spacing w:val="-4"/>
        </w:rPr>
        <w:t> </w:t>
      </w:r>
      <w:r>
        <w:rPr>
          <w:color w:val="0D2748"/>
        </w:rPr>
        <w:t>Model</w:t>
      </w:r>
      <w:r>
        <w:rPr>
          <w:color w:val="0D2748"/>
          <w:spacing w:val="-3"/>
        </w:rPr>
        <w:t> </w:t>
      </w:r>
      <w:r>
        <w:rPr>
          <w:color w:val="0D2748"/>
        </w:rPr>
        <w:t>Diplomacy</w:t>
      </w:r>
      <w:r>
        <w:rPr>
          <w:color w:val="0D2748"/>
          <w:spacing w:val="-1"/>
        </w:rPr>
        <w:t> </w:t>
      </w:r>
      <w:r>
        <w:rPr>
          <w:color w:val="0D2748"/>
        </w:rPr>
        <w:t>Simulations</w:t>
      </w: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rPr>
          <w:rFonts w:ascii="Larsseit-Light"/>
          <w:sz w:val="44"/>
        </w:rPr>
      </w:pPr>
    </w:p>
    <w:p>
      <w:pPr>
        <w:pStyle w:val="BodyText"/>
        <w:spacing w:before="1"/>
        <w:rPr>
          <w:rFonts w:ascii="Larsseit-Light"/>
          <w:sz w:val="52"/>
        </w:rPr>
      </w:pPr>
    </w:p>
    <w:p>
      <w:pPr>
        <w:pStyle w:val="Heading1"/>
      </w:pPr>
      <w:r>
        <w:rPr>
          <w:color w:val="0D2748"/>
        </w:rPr>
        <w:t>Overview</w:t>
      </w:r>
    </w:p>
    <w:p>
      <w:pPr>
        <w:pStyle w:val="BodyText"/>
        <w:spacing w:before="50"/>
        <w:ind w:left="1150" w:right="2142"/>
      </w:pPr>
      <w:r>
        <w:rPr>
          <w:color w:val="4B525C"/>
        </w:rPr>
        <w:t>Model Diplomacy is a free classroom simulation of either the U.S. National</w:t>
      </w:r>
      <w:r>
        <w:rPr>
          <w:color w:val="4B525C"/>
          <w:spacing w:val="-38"/>
        </w:rPr>
        <w:t> </w:t>
      </w:r>
      <w:r>
        <w:rPr>
          <w:color w:val="4B525C"/>
        </w:rPr>
        <w:t>Security Council (NSC) or the UN Security Council that takes place both</w:t>
      </w:r>
      <w:r>
        <w:rPr>
          <w:color w:val="4B525C"/>
          <w:spacing w:val="1"/>
        </w:rPr>
        <w:t> </w:t>
      </w:r>
      <w:r>
        <w:rPr>
          <w:color w:val="4B525C"/>
        </w:rPr>
        <w:t>online and in the classroom in a blended learning environment. It presents</w:t>
      </w:r>
      <w:r>
        <w:rPr>
          <w:color w:val="4B525C"/>
          <w:spacing w:val="1"/>
        </w:rPr>
        <w:t> </w:t>
      </w:r>
      <w:r>
        <w:rPr>
          <w:color w:val="4B525C"/>
        </w:rPr>
        <w:t>hypothetical</w:t>
      </w:r>
      <w:r>
        <w:rPr>
          <w:color w:val="4B525C"/>
          <w:spacing w:val="-4"/>
        </w:rPr>
        <w:t> </w:t>
      </w:r>
      <w:r>
        <w:rPr>
          <w:color w:val="4B525C"/>
        </w:rPr>
        <w:t>situations</w:t>
      </w:r>
      <w:r>
        <w:rPr>
          <w:color w:val="4B525C"/>
          <w:spacing w:val="-2"/>
        </w:rPr>
        <w:t> </w:t>
      </w:r>
      <w:r>
        <w:rPr>
          <w:color w:val="4B525C"/>
        </w:rPr>
        <w:t>based</w:t>
      </w:r>
      <w:r>
        <w:rPr>
          <w:color w:val="4B525C"/>
          <w:spacing w:val="-3"/>
        </w:rPr>
        <w:t> </w:t>
      </w:r>
      <w:r>
        <w:rPr>
          <w:color w:val="4B525C"/>
        </w:rPr>
        <w:t>on</w:t>
      </w:r>
      <w:r>
        <w:rPr>
          <w:color w:val="4B525C"/>
          <w:spacing w:val="-3"/>
        </w:rPr>
        <w:t> </w:t>
      </w:r>
      <w:r>
        <w:rPr>
          <w:color w:val="4B525C"/>
        </w:rPr>
        <w:t>real</w:t>
      </w:r>
      <w:r>
        <w:rPr>
          <w:color w:val="4B525C"/>
          <w:spacing w:val="-4"/>
        </w:rPr>
        <w:t> </w:t>
      </w:r>
      <w:r>
        <w:rPr>
          <w:color w:val="4B525C"/>
        </w:rPr>
        <w:t>issues</w:t>
      </w:r>
      <w:r>
        <w:rPr>
          <w:color w:val="4B525C"/>
          <w:spacing w:val="-2"/>
        </w:rPr>
        <w:t> </w:t>
      </w:r>
      <w:r>
        <w:rPr>
          <w:color w:val="4B525C"/>
        </w:rPr>
        <w:t>from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past</w:t>
      </w:r>
      <w:r>
        <w:rPr>
          <w:color w:val="4B525C"/>
          <w:spacing w:val="-3"/>
        </w:rPr>
        <w:t> </w:t>
      </w:r>
      <w:r>
        <w:rPr>
          <w:color w:val="4B525C"/>
        </w:rPr>
        <w:t>and</w:t>
      </w:r>
      <w:r>
        <w:rPr>
          <w:color w:val="4B525C"/>
          <w:spacing w:val="-2"/>
        </w:rPr>
        <w:t> </w:t>
      </w:r>
      <w:r>
        <w:rPr>
          <w:color w:val="4B525C"/>
        </w:rPr>
        <w:t>present.</w:t>
      </w:r>
      <w:r>
        <w:rPr>
          <w:color w:val="4B525C"/>
          <w:spacing w:val="-4"/>
        </w:rPr>
        <w:t> </w:t>
      </w:r>
      <w:r>
        <w:rPr>
          <w:color w:val="4B525C"/>
        </w:rPr>
        <w:t>It</w:t>
      </w:r>
      <w:r>
        <w:rPr>
          <w:color w:val="4B525C"/>
          <w:spacing w:val="-3"/>
        </w:rPr>
        <w:t> </w:t>
      </w:r>
      <w:r>
        <w:rPr>
          <w:color w:val="4B525C"/>
        </w:rPr>
        <w:t>has</w:t>
      </w:r>
      <w:r>
        <w:rPr>
          <w:color w:val="4B525C"/>
          <w:spacing w:val="-37"/>
        </w:rPr>
        <w:t> </w:t>
      </w:r>
      <w:r>
        <w:rPr>
          <w:color w:val="4B525C"/>
        </w:rPr>
        <w:t>two</w:t>
      </w:r>
      <w:r>
        <w:rPr>
          <w:color w:val="4B525C"/>
          <w:spacing w:val="-1"/>
        </w:rPr>
        <w:t> </w:t>
      </w:r>
      <w:r>
        <w:rPr>
          <w:color w:val="4B525C"/>
        </w:rPr>
        <w:t>historical</w:t>
      </w:r>
      <w:r>
        <w:rPr>
          <w:color w:val="4B525C"/>
          <w:spacing w:val="-1"/>
        </w:rPr>
        <w:t> </w:t>
      </w:r>
      <w:r>
        <w:rPr>
          <w:color w:val="4B525C"/>
        </w:rPr>
        <w:t>cases</w:t>
      </w:r>
      <w:r>
        <w:rPr>
          <w:color w:val="4B525C"/>
          <w:spacing w:val="-1"/>
        </w:rPr>
        <w:t> </w:t>
      </w:r>
      <w:r>
        <w:rPr>
          <w:color w:val="4B525C"/>
        </w:rPr>
        <w:t>from the</w:t>
      </w:r>
      <w:r>
        <w:rPr>
          <w:color w:val="4B525C"/>
          <w:spacing w:val="-2"/>
        </w:rPr>
        <w:t> </w:t>
      </w:r>
      <w:r>
        <w:rPr>
          <w:color w:val="4B525C"/>
        </w:rPr>
        <w:t>Global</w:t>
      </w:r>
      <w:r>
        <w:rPr>
          <w:color w:val="4B525C"/>
          <w:spacing w:val="1"/>
        </w:rPr>
        <w:t> </w:t>
      </w:r>
      <w:r>
        <w:rPr>
          <w:color w:val="4B525C"/>
        </w:rPr>
        <w:t>Era.</w:t>
      </w:r>
    </w:p>
    <w:p>
      <w:pPr>
        <w:pStyle w:val="Heading1"/>
        <w:spacing w:before="153"/>
      </w:pPr>
      <w:r>
        <w:rPr>
          <w:color w:val="0D2748"/>
        </w:rPr>
        <w:t>Materials</w:t>
      </w:r>
    </w:p>
    <w:p>
      <w:pPr>
        <w:pStyle w:val="BodyText"/>
        <w:spacing w:before="49"/>
        <w:ind w:left="1150"/>
      </w:pPr>
      <w:hyperlink r:id="rId6"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Model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Diplomacy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website</w:t>
        </w:r>
      </w:hyperlink>
    </w:p>
    <w:p>
      <w:pPr>
        <w:pStyle w:val="Heading1"/>
        <w:spacing w:before="173"/>
      </w:pPr>
      <w:r>
        <w:rPr>
          <w:color w:val="0D2748"/>
        </w:rPr>
        <w:t>Instructional</w:t>
      </w:r>
      <w:r>
        <w:rPr>
          <w:color w:val="0D2748"/>
          <w:spacing w:val="-1"/>
        </w:rPr>
        <w:t> </w:t>
      </w:r>
      <w:r>
        <w:rPr>
          <w:color w:val="0D2748"/>
        </w:rPr>
        <w:t>Plan</w:t>
      </w:r>
    </w:p>
    <w:p>
      <w:pPr>
        <w:pStyle w:val="BodyText"/>
        <w:spacing w:before="49"/>
        <w:ind w:left="1150" w:right="2142"/>
      </w:pPr>
      <w:r>
        <w:rPr>
          <w:color w:val="4B525C"/>
        </w:rPr>
        <w:t>The</w:t>
      </w:r>
      <w:r>
        <w:rPr>
          <w:color w:val="4B525C"/>
          <w:spacing w:val="-5"/>
        </w:rPr>
        <w:t> </w:t>
      </w:r>
      <w:r>
        <w:rPr>
          <w:color w:val="4B525C"/>
        </w:rPr>
        <w:t>following</w:t>
      </w:r>
      <w:r>
        <w:rPr>
          <w:color w:val="4B525C"/>
          <w:spacing w:val="-4"/>
        </w:rPr>
        <w:t> </w:t>
      </w:r>
      <w:r>
        <w:rPr>
          <w:color w:val="4B525C"/>
        </w:rPr>
        <w:t>historical</w:t>
      </w:r>
      <w:r>
        <w:rPr>
          <w:color w:val="4B525C"/>
          <w:spacing w:val="-3"/>
        </w:rPr>
        <w:t> </w:t>
      </w:r>
      <w:r>
        <w:rPr>
          <w:color w:val="4B525C"/>
        </w:rPr>
        <w:t>Model</w:t>
      </w:r>
      <w:r>
        <w:rPr>
          <w:color w:val="4B525C"/>
          <w:spacing w:val="-2"/>
        </w:rPr>
        <w:t> </w:t>
      </w:r>
      <w:r>
        <w:rPr>
          <w:color w:val="4B525C"/>
        </w:rPr>
        <w:t>Diplomacy</w:t>
      </w:r>
      <w:r>
        <w:rPr>
          <w:color w:val="4B525C"/>
          <w:spacing w:val="-4"/>
        </w:rPr>
        <w:t> </w:t>
      </w:r>
      <w:r>
        <w:rPr>
          <w:color w:val="4B525C"/>
        </w:rPr>
        <w:t>cases</w:t>
      </w:r>
      <w:r>
        <w:rPr>
          <w:color w:val="4B525C"/>
          <w:spacing w:val="-2"/>
        </w:rPr>
        <w:t> </w:t>
      </w:r>
      <w:r>
        <w:rPr>
          <w:color w:val="4B525C"/>
        </w:rPr>
        <w:t>take</w:t>
      </w:r>
      <w:r>
        <w:rPr>
          <w:color w:val="4B525C"/>
          <w:spacing w:val="-4"/>
        </w:rPr>
        <w:t> </w:t>
      </w:r>
      <w:r>
        <w:rPr>
          <w:color w:val="4B525C"/>
        </w:rPr>
        <w:t>place</w:t>
      </w:r>
      <w:r>
        <w:rPr>
          <w:color w:val="4B525C"/>
          <w:spacing w:val="-5"/>
        </w:rPr>
        <w:t> </w:t>
      </w:r>
      <w:r>
        <w:rPr>
          <w:color w:val="4B525C"/>
        </w:rPr>
        <w:t>during</w:t>
      </w:r>
      <w:r>
        <w:rPr>
          <w:color w:val="4B525C"/>
          <w:spacing w:val="-4"/>
        </w:rPr>
        <w:t> </w:t>
      </w:r>
      <w:r>
        <w:rPr>
          <w:color w:val="4B525C"/>
        </w:rPr>
        <w:t>the</w:t>
      </w:r>
      <w:r>
        <w:rPr>
          <w:color w:val="4B525C"/>
          <w:spacing w:val="-5"/>
        </w:rPr>
        <w:t> </w:t>
      </w:r>
      <w:r>
        <w:rPr>
          <w:color w:val="4B525C"/>
        </w:rPr>
        <w:t>Global</w:t>
      </w:r>
      <w:r>
        <w:rPr>
          <w:color w:val="4B525C"/>
          <w:spacing w:val="-37"/>
        </w:rPr>
        <w:t> </w:t>
      </w:r>
      <w:r>
        <w:rPr>
          <w:color w:val="4B525C"/>
        </w:rPr>
        <w:t>Era: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40" w:lineRule="auto" w:before="1" w:after="0"/>
        <w:ind w:left="1870" w:right="0" w:hanging="360"/>
        <w:jc w:val="left"/>
        <w:rPr>
          <w:sz w:val="20"/>
          <w:u w:val="none"/>
        </w:rPr>
      </w:pPr>
      <w:hyperlink r:id="rId7">
        <w:r>
          <w:rPr>
            <w:color w:val="0000FF"/>
            <w:sz w:val="20"/>
            <w:u w:val="single" w:color="0000FF"/>
          </w:rPr>
          <w:t>Korean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War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1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1950</w:t>
        </w:r>
      </w:hyperlink>
    </w:p>
    <w:p>
      <w:pPr>
        <w:pStyle w:val="BodyText"/>
        <w:spacing w:line="259" w:lineRule="auto" w:before="21"/>
        <w:ind w:left="1870" w:right="2142"/>
      </w:pPr>
      <w:r>
        <w:rPr>
          <w:color w:val="4B525C"/>
        </w:rPr>
        <w:t>Set</w:t>
      </w:r>
      <w:r>
        <w:rPr>
          <w:color w:val="4B525C"/>
          <w:spacing w:val="-3"/>
        </w:rPr>
        <w:t> </w:t>
      </w:r>
      <w:r>
        <w:rPr>
          <w:color w:val="4B525C"/>
        </w:rPr>
        <w:t>in</w:t>
      </w:r>
      <w:r>
        <w:rPr>
          <w:color w:val="4B525C"/>
          <w:spacing w:val="-2"/>
        </w:rPr>
        <w:t> </w:t>
      </w:r>
      <w:r>
        <w:rPr>
          <w:color w:val="4B525C"/>
        </w:rPr>
        <w:t>September</w:t>
      </w:r>
      <w:r>
        <w:rPr>
          <w:color w:val="4B525C"/>
          <w:spacing w:val="-2"/>
        </w:rPr>
        <w:t> </w:t>
      </w:r>
      <w:r>
        <w:rPr>
          <w:color w:val="4B525C"/>
        </w:rPr>
        <w:t>1950.</w:t>
      </w:r>
      <w:r>
        <w:rPr>
          <w:color w:val="4B525C"/>
          <w:spacing w:val="-3"/>
        </w:rPr>
        <w:t> </w:t>
      </w:r>
      <w:r>
        <w:rPr>
          <w:color w:val="4B525C"/>
        </w:rPr>
        <w:t>Five</w:t>
      </w:r>
      <w:r>
        <w:rPr>
          <w:color w:val="4B525C"/>
          <w:spacing w:val="-4"/>
        </w:rPr>
        <w:t> </w:t>
      </w:r>
      <w:r>
        <w:rPr>
          <w:color w:val="4B525C"/>
        </w:rPr>
        <w:t>years</w:t>
      </w:r>
      <w:r>
        <w:rPr>
          <w:color w:val="4B525C"/>
          <w:spacing w:val="-3"/>
        </w:rPr>
        <w:t> </w:t>
      </w:r>
      <w:r>
        <w:rPr>
          <w:color w:val="4B525C"/>
        </w:rPr>
        <w:t>after</w:t>
      </w:r>
      <w:r>
        <w:rPr>
          <w:color w:val="4B525C"/>
          <w:spacing w:val="-4"/>
        </w:rPr>
        <w:t> </w:t>
      </w:r>
      <w:r>
        <w:rPr>
          <w:color w:val="4B525C"/>
        </w:rPr>
        <w:t>the</w:t>
      </w:r>
      <w:r>
        <w:rPr>
          <w:color w:val="4B525C"/>
          <w:spacing w:val="-3"/>
        </w:rPr>
        <w:t> </w:t>
      </w:r>
      <w:r>
        <w:rPr>
          <w:color w:val="4B525C"/>
        </w:rPr>
        <w:t>conclusion</w:t>
      </w:r>
      <w:r>
        <w:rPr>
          <w:color w:val="4B525C"/>
          <w:spacing w:val="-3"/>
        </w:rPr>
        <w:t> </w:t>
      </w:r>
      <w:r>
        <w:rPr>
          <w:color w:val="4B525C"/>
        </w:rPr>
        <w:t>of</w:t>
      </w:r>
      <w:r>
        <w:rPr>
          <w:color w:val="4B525C"/>
          <w:spacing w:val="-2"/>
        </w:rPr>
        <w:t> </w:t>
      </w:r>
      <w:r>
        <w:rPr>
          <w:color w:val="4B525C"/>
        </w:rPr>
        <w:t>World</w:t>
      </w:r>
      <w:r>
        <w:rPr>
          <w:color w:val="4B525C"/>
          <w:spacing w:val="-3"/>
        </w:rPr>
        <w:t> </w:t>
      </w:r>
      <w:r>
        <w:rPr>
          <w:color w:val="4B525C"/>
        </w:rPr>
        <w:t>War</w:t>
      </w:r>
      <w:r>
        <w:rPr>
          <w:color w:val="4B525C"/>
          <w:spacing w:val="-37"/>
        </w:rPr>
        <w:t> </w:t>
      </w:r>
      <w:r>
        <w:rPr>
          <w:color w:val="4B525C"/>
        </w:rPr>
        <w:t>II, the Korean Peninsula is under threat of falling to a Soviet-</w:t>
      </w:r>
      <w:r>
        <w:rPr>
          <w:color w:val="4B525C"/>
          <w:spacing w:val="1"/>
        </w:rPr>
        <w:t> </w:t>
      </w:r>
      <w:r>
        <w:rPr>
          <w:color w:val="4B525C"/>
        </w:rPr>
        <w:t>supported,</w:t>
      </w:r>
      <w:r>
        <w:rPr>
          <w:color w:val="4B525C"/>
          <w:spacing w:val="-2"/>
        </w:rPr>
        <w:t> </w:t>
      </w:r>
      <w:r>
        <w:rPr>
          <w:color w:val="4B525C"/>
        </w:rPr>
        <w:t>communist regime.</w:t>
      </w:r>
    </w:p>
    <w:p>
      <w:pPr>
        <w:pStyle w:val="ListParagraph"/>
        <w:numPr>
          <w:ilvl w:val="0"/>
          <w:numId w:val="1"/>
        </w:numPr>
        <w:tabs>
          <w:tab w:pos="1869" w:val="left" w:leader="none"/>
          <w:tab w:pos="1870" w:val="left" w:leader="none"/>
        </w:tabs>
        <w:spacing w:line="258" w:lineRule="exact" w:before="0" w:after="0"/>
        <w:ind w:left="1870" w:right="0" w:hanging="360"/>
        <w:jc w:val="left"/>
        <w:rPr>
          <w:sz w:val="20"/>
          <w:u w:val="none"/>
        </w:rPr>
      </w:pPr>
      <w:hyperlink r:id="rId8">
        <w:r>
          <w:rPr>
            <w:color w:val="0000FF"/>
            <w:sz w:val="20"/>
            <w:u w:val="single" w:color="0000FF"/>
          </w:rPr>
          <w:t>NATO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Enlargement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in</w:t>
        </w:r>
        <w:r>
          <w:rPr>
            <w:color w:val="0000FF"/>
            <w:spacing w:val="-2"/>
            <w:sz w:val="20"/>
            <w:u w:val="single" w:color="0000FF"/>
          </w:rPr>
          <w:t> </w:t>
        </w:r>
        <w:r>
          <w:rPr>
            <w:color w:val="0000FF"/>
            <w:sz w:val="20"/>
            <w:u w:val="single" w:color="0000FF"/>
          </w:rPr>
          <w:t>1993</w:t>
        </w:r>
      </w:hyperlink>
    </w:p>
    <w:p>
      <w:pPr>
        <w:pStyle w:val="BodyText"/>
        <w:spacing w:line="259" w:lineRule="auto" w:before="20"/>
        <w:ind w:left="1870" w:right="2142"/>
      </w:pPr>
      <w:r>
        <w:rPr>
          <w:color w:val="4B525C"/>
        </w:rPr>
        <w:t>Set</w:t>
      </w:r>
      <w:r>
        <w:rPr>
          <w:color w:val="4B525C"/>
          <w:spacing w:val="-3"/>
        </w:rPr>
        <w:t> </w:t>
      </w:r>
      <w:r>
        <w:rPr>
          <w:color w:val="4B525C"/>
        </w:rPr>
        <w:t>in</w:t>
      </w:r>
      <w:r>
        <w:rPr>
          <w:color w:val="4B525C"/>
          <w:spacing w:val="-3"/>
        </w:rPr>
        <w:t> </w:t>
      </w:r>
      <w:r>
        <w:rPr>
          <w:color w:val="4B525C"/>
        </w:rPr>
        <w:t>December</w:t>
      </w:r>
      <w:r>
        <w:rPr>
          <w:color w:val="4B525C"/>
          <w:spacing w:val="-2"/>
        </w:rPr>
        <w:t> </w:t>
      </w:r>
      <w:r>
        <w:rPr>
          <w:color w:val="4B525C"/>
        </w:rPr>
        <w:t>1993.</w:t>
      </w:r>
      <w:r>
        <w:rPr>
          <w:color w:val="4B525C"/>
          <w:spacing w:val="-4"/>
        </w:rPr>
        <w:t> </w:t>
      </w:r>
      <w:r>
        <w:rPr>
          <w:color w:val="4B525C"/>
        </w:rPr>
        <w:t>Following</w:t>
      </w:r>
      <w:r>
        <w:rPr>
          <w:color w:val="4B525C"/>
          <w:spacing w:val="-4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collapse</w:t>
      </w:r>
      <w:r>
        <w:rPr>
          <w:color w:val="4B525C"/>
          <w:spacing w:val="-2"/>
        </w:rPr>
        <w:t> </w:t>
      </w:r>
      <w:r>
        <w:rPr>
          <w:color w:val="4B525C"/>
        </w:rPr>
        <w:t>of</w:t>
      </w:r>
      <w:r>
        <w:rPr>
          <w:color w:val="4B525C"/>
          <w:spacing w:val="-3"/>
        </w:rPr>
        <w:t> </w:t>
      </w:r>
      <w:r>
        <w:rPr>
          <w:color w:val="4B525C"/>
        </w:rPr>
        <w:t>the</w:t>
      </w:r>
      <w:r>
        <w:rPr>
          <w:color w:val="4B525C"/>
          <w:spacing w:val="-4"/>
        </w:rPr>
        <w:t> </w:t>
      </w:r>
      <w:r>
        <w:rPr>
          <w:color w:val="4B525C"/>
        </w:rPr>
        <w:t>Soviet</w:t>
      </w:r>
      <w:r>
        <w:rPr>
          <w:color w:val="4B525C"/>
          <w:spacing w:val="-2"/>
        </w:rPr>
        <w:t> </w:t>
      </w:r>
      <w:r>
        <w:rPr>
          <w:color w:val="4B525C"/>
        </w:rPr>
        <w:t>Union,</w:t>
      </w:r>
      <w:r>
        <w:rPr>
          <w:color w:val="4B525C"/>
          <w:spacing w:val="-38"/>
        </w:rPr>
        <w:t> </w:t>
      </w:r>
      <w:r>
        <w:rPr>
          <w:color w:val="4B525C"/>
        </w:rPr>
        <w:t>many former Soviet states in Central and Eastern Europe express</w:t>
      </w:r>
      <w:r>
        <w:rPr>
          <w:color w:val="4B525C"/>
          <w:spacing w:val="1"/>
        </w:rPr>
        <w:t> </w:t>
      </w:r>
      <w:r>
        <w:rPr>
          <w:color w:val="4B525C"/>
        </w:rPr>
        <w:t>interest</w:t>
      </w:r>
      <w:r>
        <w:rPr>
          <w:color w:val="4B525C"/>
          <w:spacing w:val="-2"/>
        </w:rPr>
        <w:t> </w:t>
      </w:r>
      <w:r>
        <w:rPr>
          <w:color w:val="4B525C"/>
        </w:rPr>
        <w:t>in</w:t>
      </w:r>
      <w:r>
        <w:rPr>
          <w:color w:val="4B525C"/>
          <w:spacing w:val="-1"/>
        </w:rPr>
        <w:t> </w:t>
      </w:r>
      <w:r>
        <w:rPr>
          <w:color w:val="4B525C"/>
        </w:rPr>
        <w:t>joining</w:t>
      </w:r>
      <w:r>
        <w:rPr>
          <w:color w:val="4B525C"/>
          <w:spacing w:val="-2"/>
        </w:rPr>
        <w:t> </w:t>
      </w:r>
      <w:r>
        <w:rPr>
          <w:color w:val="4B525C"/>
        </w:rPr>
        <w:t>the</w:t>
      </w:r>
      <w:r>
        <w:rPr>
          <w:color w:val="4B525C"/>
          <w:spacing w:val="-2"/>
        </w:rPr>
        <w:t> </w:t>
      </w:r>
      <w:r>
        <w:rPr>
          <w:color w:val="4B525C"/>
        </w:rPr>
        <w:t>North</w:t>
      </w:r>
      <w:r>
        <w:rPr>
          <w:color w:val="4B525C"/>
          <w:spacing w:val="-2"/>
        </w:rPr>
        <w:t> </w:t>
      </w:r>
      <w:r>
        <w:rPr>
          <w:color w:val="4B525C"/>
        </w:rPr>
        <w:t>Atlantic</w:t>
      </w:r>
      <w:r>
        <w:rPr>
          <w:color w:val="4B525C"/>
          <w:spacing w:val="-1"/>
        </w:rPr>
        <w:t> </w:t>
      </w:r>
      <w:r>
        <w:rPr>
          <w:color w:val="4B525C"/>
        </w:rPr>
        <w:t>Treaty</w:t>
      </w:r>
      <w:r>
        <w:rPr>
          <w:color w:val="4B525C"/>
          <w:spacing w:val="-1"/>
        </w:rPr>
        <w:t> </w:t>
      </w:r>
      <w:r>
        <w:rPr>
          <w:color w:val="4B525C"/>
        </w:rPr>
        <w:t>Organization.</w:t>
      </w:r>
    </w:p>
    <w:sectPr>
      <w:type w:val="continuous"/>
      <w:pgSz w:w="12240" w:h="15840"/>
      <w:pgMar w:top="0" w:bottom="0" w:left="17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Larsseit-Light">
    <w:altName w:val="Larsseit-Light"/>
    <w:charset w:val="0"/>
    <w:family w:val="roman"/>
    <w:pitch w:val="variable"/>
  </w:font>
  <w:font w:name="Haarlemmer MT">
    <w:altName w:val="Haarlemmer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870" w:hanging="360"/>
      </w:pPr>
      <w:rPr>
        <w:rFonts w:hint="default" w:ascii="Symbol" w:hAnsi="Symbol" w:eastAsia="Symbol" w:cs="Symbol"/>
        <w:color w:val="4B525C"/>
        <w:w w:val="76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7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aarlemmer MT" w:hAnsi="Haarlemmer MT" w:eastAsia="Haarlemmer MT" w:cs="Haarlemmer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Haarlemmer MT" w:hAnsi="Haarlemmer MT" w:eastAsia="Haarlemmer MT" w:cs="Haarlemmer MT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50"/>
      <w:outlineLvl w:val="1"/>
    </w:pPr>
    <w:rPr>
      <w:rFonts w:ascii="Larsseit-Light" w:hAnsi="Larsseit-Light" w:eastAsia="Larsseit-Light" w:cs="Larsseit-Light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3404"/>
    </w:pPr>
    <w:rPr>
      <w:rFonts w:ascii="Larsseit-Light" w:hAnsi="Larsseit-Light" w:eastAsia="Larsseit-Light" w:cs="Larsseit-Ligh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870" w:hanging="360"/>
    </w:pPr>
    <w:rPr>
      <w:rFonts w:ascii="Haarlemmer MT" w:hAnsi="Haarlemmer MT" w:eastAsia="Haarlemmer MT" w:cs="Haarlemmer MT"/>
      <w:u w:val="single" w:color="000000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modeldiplomacy.cfr.org/" TargetMode="External"/><Relationship Id="rId7" Type="http://schemas.openxmlformats.org/officeDocument/2006/relationships/hyperlink" Target="https://modeldiplomacy.cfr.org/preview/60/overview" TargetMode="External"/><Relationship Id="rId8" Type="http://schemas.openxmlformats.org/officeDocument/2006/relationships/hyperlink" Target="https://modeldiplomacy.cfr.org/preview/95/overview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Martinez</dc:creator>
  <dcterms:created xsi:type="dcterms:W3CDTF">2021-04-29T18:08:13Z</dcterms:created>
  <dcterms:modified xsi:type="dcterms:W3CDTF">2021-04-29T18:08:13Z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2021-04-29T00:00:00Z</vt:filetime>
  </property>
</Properties>
</file>