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  <w:r>
        <w:rPr/>
        <w:pict>
          <v:group style="position:absolute;margin-left:0pt;margin-top:692.956787pt;width:612pt;height:99.05pt;mso-position-horizontal-relative:page;mso-position-vertical-relative:page;z-index:15728640" coordorigin="0,13859" coordsize="12240,1981">
            <v:shape style="position:absolute;left:0;top:13859;width:12240;height:1981" coordorigin="0,13859" coordsize="12240,1981" path="m12239,13859l0,14906,0,15839,12239,15839,12239,13859xe" filled="true" fillcolor="#e7f4f5" stroked="false">
              <v:path arrowok="t"/>
              <v:fill type="solid"/>
            </v:shape>
            <v:shape style="position:absolute;left:10044;top:14492;width:415;height:300" coordorigin="10044,14492" coordsize="415,300" path="m10106,14492l10044,14492,10135,14792,10197,14792,10223,14705,10167,14705,10163,14683,10106,14492xm10309,14599l10252,14599,10256,14620,10306,14792,10368,14792,10395,14705,10336,14705,10333,14683,10309,14599xm10279,14492l10225,14492,10171,14683,10167,14705,10223,14705,10248,14620,10252,14599,10309,14599,10279,14492xm10459,14492l10397,14492,10341,14683,10336,14705,10395,14705,10459,14492xe" filled="true" fillcolor="#10355a" stroked="false">
              <v:path arrowok="t"/>
              <v:fill type="solid"/>
            </v:shape>
            <v:shape style="position:absolute;left:10516;top:14482;width:462;height:310" coordorigin="10516,14482" coordsize="462,310" path="m10607,14488l10585,14488,10577,14505,10565,14515,10545,14520,10516,14522,10516,14546,10579,14546,10579,14786,10607,14786,10607,14488xm10759,14482l10717,14493,10686,14524,10668,14573,10661,14637,10668,14700,10686,14749,10717,14781,10759,14792,10800,14781,10815,14766,10759,14766,10729,14756,10707,14730,10694,14690,10690,14637,10694,14584,10707,14543,10729,14518,10759,14508,10815,14508,10800,14493,10759,14482xm10827,14520l10827,14637,10823,14690,10810,14730,10789,14756,10759,14766,10815,14766,10831,14749,10850,14700,10856,14637,10850,14573,10831,14524,10827,14520xm10815,14508l10759,14508,10789,14518,10810,14543,10823,14584,10827,14637,10827,14520,10815,14508xm10978,14488l10955,14488,10948,14505,10935,14515,10916,14520,10887,14522,10887,14546,10950,14546,10950,14786,10978,14786,10978,14488xe" filled="true" fillcolor="#f2723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96;top:14874;width:74;height:18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D2748"/>
                        <w:w w:val="6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.050pt;height:136.85pt;mso-position-horizontal-relative:page;mso-position-vertical-relative:page;z-index:-15761920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Global</w:t>
      </w:r>
      <w:r>
        <w:rPr>
          <w:color w:val="0D2748"/>
          <w:spacing w:val="-5"/>
        </w:rPr>
        <w:t> </w:t>
      </w:r>
      <w:r>
        <w:rPr>
          <w:color w:val="0D2748"/>
        </w:rPr>
        <w:t>Era:</w:t>
      </w:r>
      <w:r>
        <w:rPr>
          <w:color w:val="0D2748"/>
          <w:spacing w:val="-4"/>
        </w:rPr>
        <w:t> </w:t>
      </w:r>
      <w:r>
        <w:rPr>
          <w:color w:val="0D2748"/>
        </w:rPr>
        <w:t>Decolonization</w:t>
      </w:r>
      <w:r>
        <w:rPr>
          <w:color w:val="0D2748"/>
          <w:spacing w:val="-2"/>
        </w:rPr>
        <w:t> </w:t>
      </w:r>
      <w:r>
        <w:rPr>
          <w:color w:val="0D2748"/>
        </w:rPr>
        <w:t>Infographics</w:t>
      </w:r>
    </w:p>
    <w:p>
      <w:pPr>
        <w:pStyle w:val="BodyText"/>
        <w:ind w:left="0"/>
        <w:rPr>
          <w:rFonts w:ascii="Larsseit-Light"/>
          <w:sz w:val="44"/>
        </w:rPr>
      </w:pPr>
    </w:p>
    <w:p>
      <w:pPr>
        <w:pStyle w:val="BodyText"/>
        <w:ind w:left="0"/>
        <w:rPr>
          <w:rFonts w:ascii="Larsseit-Light"/>
          <w:sz w:val="44"/>
        </w:rPr>
      </w:pPr>
    </w:p>
    <w:p>
      <w:pPr>
        <w:pStyle w:val="BodyText"/>
        <w:spacing w:before="8"/>
        <w:ind w:left="0"/>
        <w:rPr>
          <w:rFonts w:ascii="Larsseit-Light"/>
          <w:sz w:val="35"/>
        </w:rPr>
      </w:pPr>
    </w:p>
    <w:p>
      <w:pPr>
        <w:pStyle w:val="Heading1"/>
      </w:pPr>
      <w:r>
        <w:rPr>
          <w:color w:val="0D2748"/>
        </w:rPr>
        <w:t>Overview</w:t>
      </w:r>
    </w:p>
    <w:p>
      <w:pPr>
        <w:pStyle w:val="BodyText"/>
        <w:spacing w:before="62"/>
        <w:ind w:left="1150" w:right="2354"/>
      </w:pPr>
      <w:r>
        <w:rPr>
          <w:color w:val="4B525C"/>
        </w:rPr>
        <w:t>Students</w:t>
      </w:r>
      <w:r>
        <w:rPr>
          <w:color w:val="4B525C"/>
          <w:spacing w:val="-4"/>
        </w:rPr>
        <w:t> </w:t>
      </w:r>
      <w:r>
        <w:rPr>
          <w:color w:val="4B525C"/>
        </w:rPr>
        <w:t>will</w:t>
      </w:r>
      <w:r>
        <w:rPr>
          <w:color w:val="4B525C"/>
          <w:spacing w:val="-2"/>
        </w:rPr>
        <w:t> </w:t>
      </w:r>
      <w:r>
        <w:rPr>
          <w:color w:val="4B525C"/>
        </w:rPr>
        <w:t>compare</w:t>
      </w:r>
      <w:r>
        <w:rPr>
          <w:color w:val="4B525C"/>
          <w:spacing w:val="-3"/>
        </w:rPr>
        <w:t> </w:t>
      </w:r>
      <w:r>
        <w:rPr>
          <w:color w:val="4B525C"/>
        </w:rPr>
        <w:t>and</w:t>
      </w:r>
      <w:r>
        <w:rPr>
          <w:color w:val="4B525C"/>
          <w:spacing w:val="-5"/>
        </w:rPr>
        <w:t> </w:t>
      </w:r>
      <w:r>
        <w:rPr>
          <w:color w:val="4B525C"/>
        </w:rPr>
        <w:t>contrast</w:t>
      </w:r>
      <w:r>
        <w:rPr>
          <w:color w:val="4B525C"/>
          <w:spacing w:val="-2"/>
        </w:rPr>
        <w:t> </w:t>
      </w:r>
      <w:r>
        <w:rPr>
          <w:color w:val="4B525C"/>
        </w:rPr>
        <w:t>two</w:t>
      </w:r>
      <w:r>
        <w:rPr>
          <w:color w:val="4B525C"/>
          <w:spacing w:val="-3"/>
        </w:rPr>
        <w:t> </w:t>
      </w:r>
      <w:r>
        <w:rPr>
          <w:color w:val="4B525C"/>
        </w:rPr>
        <w:t>former</w:t>
      </w:r>
      <w:r>
        <w:rPr>
          <w:color w:val="4B525C"/>
          <w:spacing w:val="-4"/>
        </w:rPr>
        <w:t> </w:t>
      </w:r>
      <w:r>
        <w:rPr>
          <w:color w:val="4B525C"/>
        </w:rPr>
        <w:t>colonies</w:t>
      </w:r>
      <w:r>
        <w:rPr>
          <w:color w:val="4B525C"/>
          <w:spacing w:val="-4"/>
        </w:rPr>
        <w:t> </w:t>
      </w:r>
      <w:r>
        <w:rPr>
          <w:color w:val="4B525C"/>
        </w:rPr>
        <w:t>using</w:t>
      </w:r>
      <w:r>
        <w:rPr>
          <w:color w:val="4B525C"/>
          <w:spacing w:val="-3"/>
        </w:rPr>
        <w:t> </w:t>
      </w:r>
      <w:r>
        <w:rPr>
          <w:color w:val="4B525C"/>
        </w:rPr>
        <w:t>an</w:t>
      </w:r>
      <w:r>
        <w:rPr>
          <w:color w:val="4B525C"/>
          <w:spacing w:val="-37"/>
        </w:rPr>
        <w:t> </w:t>
      </w:r>
      <w:r>
        <w:rPr>
          <w:color w:val="4B525C"/>
        </w:rPr>
        <w:t>infographic</w:t>
      </w:r>
    </w:p>
    <w:p>
      <w:pPr>
        <w:pStyle w:val="Heading1"/>
        <w:spacing w:before="164"/>
      </w:pPr>
      <w:r>
        <w:rPr>
          <w:color w:val="0D2748"/>
        </w:rPr>
        <w:t>Length</w:t>
      </w:r>
    </w:p>
    <w:p>
      <w:pPr>
        <w:pStyle w:val="BodyText"/>
        <w:spacing w:before="62"/>
        <w:ind w:left="1150"/>
      </w:pPr>
      <w:r>
        <w:rPr>
          <w:color w:val="4B525C"/>
        </w:rPr>
        <w:t>One</w:t>
      </w:r>
      <w:r>
        <w:rPr>
          <w:color w:val="4B525C"/>
          <w:spacing w:val="-5"/>
        </w:rPr>
        <w:t> </w:t>
      </w:r>
      <w:r>
        <w:rPr>
          <w:color w:val="4B525C"/>
        </w:rPr>
        <w:t>class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>
          <w:color w:val="0D2748"/>
        </w:rPr>
        <w:t>Materials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40" w:lineRule="auto" w:before="50" w:after="0"/>
        <w:ind w:left="1870" w:right="0" w:hanging="360"/>
        <w:jc w:val="left"/>
        <w:rPr>
          <w:sz w:val="20"/>
        </w:rPr>
      </w:pPr>
      <w:hyperlink r:id="rId6">
        <w:r>
          <w:rPr>
            <w:color w:val="0000FF"/>
            <w:sz w:val="20"/>
            <w:u w:val="single" w:color="0000FF"/>
          </w:rPr>
          <w:t>How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Did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Decolonization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Reshape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World?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(World101)</w:t>
        </w:r>
      </w:hyperlink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22" w:after="0"/>
        <w:ind w:left="1870" w:right="3189" w:hanging="360"/>
        <w:jc w:val="left"/>
        <w:rPr>
          <w:sz w:val="20"/>
        </w:rPr>
      </w:pPr>
      <w:r>
        <w:rPr>
          <w:color w:val="4B525C"/>
          <w:sz w:val="20"/>
        </w:rPr>
        <w:t>Arts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materials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graphics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software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(such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as</w:t>
      </w:r>
      <w:r>
        <w:rPr>
          <w:color w:val="0000FF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Piktochart</w:t>
        </w:r>
        <w:r>
          <w:rPr>
            <w:color w:val="0000FF"/>
            <w:spacing w:val="-2"/>
            <w:sz w:val="20"/>
          </w:rPr>
          <w:t> </w:t>
        </w:r>
      </w:hyperlink>
      <w:r>
        <w:rPr>
          <w:color w:val="4B525C"/>
          <w:sz w:val="20"/>
        </w:rPr>
        <w:t>or</w:t>
      </w:r>
      <w:r>
        <w:rPr>
          <w:color w:val="0000FF"/>
          <w:spacing w:val="-37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Venngage</w:t>
        </w:r>
      </w:hyperlink>
      <w:r>
        <w:rPr>
          <w:color w:val="4B525C"/>
          <w:sz w:val="20"/>
        </w:rPr>
        <w:t>)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exact" w:before="0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Internet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library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access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for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research</w:t>
      </w:r>
    </w:p>
    <w:p>
      <w:pPr>
        <w:pStyle w:val="Heading1"/>
        <w:spacing w:before="60"/>
      </w:pPr>
      <w:r>
        <w:rPr>
          <w:color w:val="0D2748"/>
        </w:rPr>
        <w:t>Instructional</w:t>
      </w:r>
      <w:r>
        <w:rPr>
          <w:color w:val="0D2748"/>
          <w:spacing w:val="-1"/>
        </w:rPr>
        <w:t> </w:t>
      </w:r>
      <w:r>
        <w:rPr>
          <w:color w:val="0D2748"/>
        </w:rPr>
        <w:t>Plan</w:t>
      </w:r>
    </w:p>
    <w:p>
      <w:pPr>
        <w:pStyle w:val="ListParagraph"/>
        <w:numPr>
          <w:ilvl w:val="0"/>
          <w:numId w:val="2"/>
        </w:numPr>
        <w:tabs>
          <w:tab w:pos="1870" w:val="left" w:leader="none"/>
        </w:tabs>
        <w:spacing w:line="259" w:lineRule="auto" w:before="51" w:after="0"/>
        <w:ind w:left="1870" w:right="2309" w:hanging="360"/>
        <w:jc w:val="both"/>
        <w:rPr>
          <w:sz w:val="20"/>
        </w:rPr>
      </w:pPr>
      <w:r>
        <w:rPr>
          <w:color w:val="4B525C"/>
          <w:sz w:val="20"/>
        </w:rPr>
        <w:t>Have students read “How Did Decolonization Reshape the World,”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noting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variety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ways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former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colonies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gained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independence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and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types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of challenges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new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countries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faced.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342" w:hanging="360"/>
        <w:jc w:val="left"/>
        <w:rPr>
          <w:sz w:val="20"/>
        </w:rPr>
      </w:pPr>
      <w:r>
        <w:rPr>
          <w:color w:val="4B525C"/>
          <w:sz w:val="20"/>
        </w:rPr>
        <w:t>Have students choose two countries that decolonized after World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II.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Choosing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countries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mentioned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article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will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require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less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outside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research.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517" w:hanging="360"/>
        <w:jc w:val="left"/>
        <w:rPr>
          <w:sz w:val="20"/>
        </w:rPr>
      </w:pPr>
      <w:r>
        <w:rPr>
          <w:color w:val="4B525C"/>
          <w:sz w:val="20"/>
        </w:rPr>
        <w:t>Instruct students to create an infographic comparing and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contrasting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their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chosen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examples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three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areas: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how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country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gained independence, what major challenges it faced after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independence, and what ongoing challenges it faces from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decolonization. You will probably find it helpful to review some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sample infographics together and discuss what makes them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effective.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421" w:hanging="360"/>
        <w:jc w:val="left"/>
        <w:rPr>
          <w:sz w:val="20"/>
        </w:rPr>
      </w:pPr>
      <w:r>
        <w:rPr>
          <w:color w:val="4B525C"/>
          <w:sz w:val="20"/>
        </w:rPr>
        <w:t>Have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students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share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their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work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gallery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walk.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conclusions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about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decolonization can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class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reach?</w:t>
      </w:r>
    </w:p>
    <w:sectPr>
      <w:type w:val="continuous"/>
      <w:pgSz w:w="12240" w:h="15840"/>
      <w:pgMar w:top="0" w:bottom="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70" w:hanging="360"/>
        <w:jc w:val="left"/>
      </w:pPr>
      <w:rPr>
        <w:rFonts w:hint="default" w:ascii="Haarlemmer MT" w:hAnsi="Haarlemmer MT" w:eastAsia="Haarlemmer MT" w:cs="Haarlemmer MT"/>
        <w:color w:val="4B525C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70" w:hanging="360"/>
      </w:pPr>
      <w:rPr>
        <w:rFonts w:hint="default" w:ascii="Symbol" w:hAnsi="Symbol" w:eastAsia="Symbol" w:cs="Symbol"/>
        <w:color w:val="4B525C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70"/>
    </w:pPr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0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3694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7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orld101.cfr.org/historical-context/global-era/how-did-decolonization-reshape-world" TargetMode="External"/><Relationship Id="rId7" Type="http://schemas.openxmlformats.org/officeDocument/2006/relationships/hyperlink" Target="https://piktochart.com/" TargetMode="External"/><Relationship Id="rId8" Type="http://schemas.openxmlformats.org/officeDocument/2006/relationships/hyperlink" Target="https://venngage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Martinez</dc:creator>
  <dcterms:created xsi:type="dcterms:W3CDTF">2021-04-29T18:07:44Z</dcterms:created>
  <dcterms:modified xsi:type="dcterms:W3CDTF">2021-04-29T18:07:44Z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2021-04-29T00:00:00Z</vt:filetime>
  </property>
</Properties>
</file>