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30688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9088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6399;top:710;width:4518;height:452" type="#_x0000_t75" stroked="false">
              <v:imagedata r:id="rId7" o:title=""/>
            </v:shape>
            <v:shape style="position:absolute;left:10761;top:710;width:260;height:452" type="#_x0000_t75" stroked="false">
              <v:imagedata r:id="rId8" o:title=""/>
            </v:shape>
            <v:shape style="position:absolute;left:10890;top:710;width:612;height:452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</w:rPr>
      </w:pPr>
    </w:p>
    <w:p>
      <w:pPr>
        <w:pStyle w:val="BodyText"/>
        <w:ind w:left="11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40105" cy="222503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ind w:left="1155" w:right="1384"/>
      </w:pPr>
      <w:r>
        <w:rPr>
          <w:color w:val="4B525D"/>
        </w:rPr>
        <w:t>Students consider the responsibility to protect (R2P) doctrine and the balance between protecting human rights and protecting sovereignty, then propose a new doctrine and write an op-ed article supporting that doctrine.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1829054</wp:posOffset>
            </wp:positionH>
            <wp:positionV relativeFrom="paragraph">
              <wp:posOffset>171710</wp:posOffset>
            </wp:positionV>
            <wp:extent cx="602742" cy="222503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55"/>
      </w:pPr>
      <w:r>
        <w:rPr>
          <w:color w:val="4B525D"/>
        </w:rPr>
        <w:t>Two-three classes</w:t>
      </w: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1829054</wp:posOffset>
            </wp:positionH>
            <wp:positionV relativeFrom="paragraph">
              <wp:posOffset>173051</wp:posOffset>
            </wp:positionV>
            <wp:extent cx="777239" cy="222503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40" w:lineRule="auto" w:before="0" w:after="0"/>
        <w:ind w:left="1861" w:right="0" w:hanging="361"/>
        <w:jc w:val="left"/>
        <w:rPr>
          <w:sz w:val="20"/>
        </w:rPr>
      </w:pPr>
      <w:hyperlink r:id="rId13">
        <w:r>
          <w:rPr>
            <w:color w:val="538DD3"/>
            <w:sz w:val="20"/>
            <w:u w:val="single" w:color="538DD3"/>
          </w:rPr>
          <w:t>The Rise and Fall of the Responsibility to Protect</w:t>
        </w:r>
        <w:r>
          <w:rPr>
            <w:color w:val="538DD3"/>
            <w:spacing w:val="-2"/>
            <w:sz w:val="20"/>
          </w:rPr>
          <w:t> </w:t>
        </w:r>
      </w:hyperlink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40" w:lineRule="auto" w:before="21" w:after="0"/>
        <w:ind w:left="1861" w:right="0" w:hanging="361"/>
        <w:jc w:val="left"/>
        <w:rPr>
          <w:sz w:val="20"/>
        </w:rPr>
      </w:pPr>
      <w:r>
        <w:rPr>
          <w:color w:val="4B525D"/>
          <w:sz w:val="20"/>
        </w:rPr>
        <w:t>Building Blocks Reading List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1829054</wp:posOffset>
            </wp:positionH>
            <wp:positionV relativeFrom="paragraph">
              <wp:posOffset>192442</wp:posOffset>
            </wp:positionV>
            <wp:extent cx="1359662" cy="222503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1861" w:val="left" w:leader="none"/>
          <w:tab w:pos="1862" w:val="left" w:leader="none"/>
        </w:tabs>
        <w:spacing w:line="240" w:lineRule="auto" w:before="0" w:after="0"/>
        <w:ind w:left="1861" w:right="0" w:hanging="361"/>
        <w:jc w:val="left"/>
        <w:rPr>
          <w:sz w:val="20"/>
        </w:rPr>
      </w:pPr>
      <w:r>
        <w:rPr>
          <w:color w:val="4B525D"/>
          <w:sz w:val="20"/>
        </w:rPr>
        <w:t>Have students read “The Rise and Fall of the Responsibility</w:t>
      </w:r>
      <w:r>
        <w:rPr>
          <w:color w:val="4B525D"/>
          <w:spacing w:val="-7"/>
          <w:sz w:val="20"/>
        </w:rPr>
        <w:t> </w:t>
      </w:r>
      <w:r>
        <w:rPr>
          <w:color w:val="4B525D"/>
          <w:sz w:val="20"/>
        </w:rPr>
        <w:t>to</w:t>
      </w:r>
    </w:p>
    <w:p>
      <w:pPr>
        <w:pStyle w:val="BodyText"/>
        <w:spacing w:line="259" w:lineRule="auto" w:before="21"/>
        <w:ind w:left="1861" w:right="927"/>
      </w:pPr>
      <w:r>
        <w:rPr>
          <w:color w:val="4B525D"/>
        </w:rPr>
        <w:t>Protect” and, optionally, articles from the reading list about the R2P doctrine, noting how, in different crises, the United Nations has balanced respecting sovereignty with protecting human rights.</w:t>
      </w:r>
    </w:p>
    <w:p>
      <w:pPr>
        <w:pStyle w:val="ListParagraph"/>
        <w:numPr>
          <w:ilvl w:val="0"/>
          <w:numId w:val="2"/>
        </w:numPr>
        <w:tabs>
          <w:tab w:pos="1861" w:val="left" w:leader="none"/>
          <w:tab w:pos="1862" w:val="left" w:leader="none"/>
        </w:tabs>
        <w:spacing w:line="259" w:lineRule="auto" w:before="0" w:after="0"/>
        <w:ind w:left="1861" w:right="1236" w:hanging="360"/>
        <w:jc w:val="left"/>
        <w:rPr>
          <w:sz w:val="20"/>
        </w:rPr>
      </w:pPr>
      <w:r>
        <w:rPr>
          <w:color w:val="4B525D"/>
          <w:sz w:val="20"/>
        </w:rPr>
        <w:t>Have students choose a contemporary crisis and brainstorm how</w:t>
      </w:r>
      <w:r>
        <w:rPr>
          <w:color w:val="4B525D"/>
          <w:spacing w:val="-29"/>
          <w:sz w:val="20"/>
        </w:rPr>
        <w:t> </w:t>
      </w:r>
      <w:r>
        <w:rPr>
          <w:color w:val="4B525D"/>
          <w:sz w:val="20"/>
        </w:rPr>
        <w:t>the United Nations might intervene in a way that effectively balances sovereignty with human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rights.</w:t>
      </w:r>
    </w:p>
    <w:p>
      <w:pPr>
        <w:pStyle w:val="ListParagraph"/>
        <w:numPr>
          <w:ilvl w:val="0"/>
          <w:numId w:val="2"/>
        </w:numPr>
        <w:tabs>
          <w:tab w:pos="1861" w:val="left" w:leader="none"/>
          <w:tab w:pos="1862" w:val="left" w:leader="none"/>
        </w:tabs>
        <w:spacing w:line="259" w:lineRule="auto" w:before="0" w:after="0"/>
        <w:ind w:left="1861" w:right="1502" w:hanging="360"/>
        <w:jc w:val="left"/>
        <w:rPr>
          <w:sz w:val="20"/>
        </w:rPr>
      </w:pPr>
      <w:r>
        <w:rPr>
          <w:color w:val="4B525D"/>
          <w:sz w:val="20"/>
        </w:rPr>
        <w:t>Assign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students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write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an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op-ed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piece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supporting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their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position, drawing on at least two historical examples to support their argument.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1829054</wp:posOffset>
            </wp:positionH>
            <wp:positionV relativeFrom="paragraph">
              <wp:posOffset>234106</wp:posOffset>
            </wp:positionV>
            <wp:extent cx="36224" cy="156971"/>
            <wp:effectExtent l="0" t="0" r="0" b="0"/>
            <wp:wrapTopAndBottom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4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1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1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1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orld101.cfr.org/how-world-works-and-sometimes-doesnt/building-blocks/rise-and-fall-responsibility-protect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2020-10-06T20:53:31Z</dcterms:created>
  <dcterms:modified xsi:type="dcterms:W3CDTF">2020-10-06T20:53:31Z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2020-10-06T00:00:00Z</vt:filetime>
  </property>
</Properties>
</file>