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693pt;width:612pt;height:99pt;mso-position-horizontal-relative:page;mso-position-vertical-relative:page;z-index:15728640" coordorigin="0,13860" coordsize="12240,1980">
            <v:shape style="position:absolute;left:0;top:13860;width:12240;height:1980" coordorigin="0,13860" coordsize="12240,1980" path="m12240,13860l0,14903,0,15840,12240,15840,12240,13860xe" filled="true" fillcolor="#e8f5f6" stroked="false">
              <v:path arrowok="t"/>
              <v:fill type="solid"/>
            </v:shape>
            <v:shape style="position:absolute;left:11394;top:14910;width:75;height:176" type="#_x0000_t75" stroked="false">
              <v:imagedata r:id="rId5" o:title=""/>
            </v:shape>
            <w10:wrap type="none"/>
          </v:group>
        </w:pict>
      </w:r>
      <w:r>
        <w:rPr/>
        <w:pict>
          <v:group style="position:absolute;margin-left:0pt;margin-top:0pt;width:612pt;height:136.8pt;mso-position-horizontal-relative:page;mso-position-vertical-relative:page;z-index:-15759872" coordorigin="0,0" coordsize="12240,2736">
            <v:shape style="position:absolute;left:0;top:0;width:12240;height:2736" coordorigin="0,0" coordsize="12240,2736" path="m12240,0l0,0,0,2736,12240,1693,12240,0xe" filled="true" fillcolor="#e8f5f6" stroked="false">
              <v:path arrowok="t"/>
              <v:fill type="solid"/>
            </v:shape>
            <v:shape style="position:absolute;left:804;top:744;width:2255;height:647" type="#_x0000_t75" stroked="false">
              <v:imagedata r:id="rId6" o:title=""/>
            </v:shape>
            <v:shape style="position:absolute;left:4400;top:710;width:4790;height:452" type="#_x0000_t75" stroked="false">
              <v:imagedata r:id="rId7" o:title=""/>
            </v:shape>
            <v:shape style="position:absolute;left:9018;top:710;width:2485;height:452" type="#_x0000_t75" stroked="false">
              <v:imagedata r:id="rId8"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6"/>
        </w:rPr>
      </w:pPr>
    </w:p>
    <w:p>
      <w:pPr>
        <w:pStyle w:val="BodyText"/>
        <w:ind w:left="1162"/>
        <w:rPr>
          <w:rFonts w:ascii="Times New Roman"/>
        </w:rPr>
      </w:pPr>
      <w:r>
        <w:rPr>
          <w:rFonts w:ascii="Times New Roman"/>
        </w:rPr>
        <w:drawing>
          <wp:inline distT="0" distB="0" distL="0" distR="0">
            <wp:extent cx="840105" cy="222503"/>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840105" cy="222503"/>
                    </a:xfrm>
                    <a:prstGeom prst="rect">
                      <a:avLst/>
                    </a:prstGeom>
                  </pic:spPr>
                </pic:pic>
              </a:graphicData>
            </a:graphic>
          </wp:inline>
        </w:drawing>
      </w:r>
      <w:r>
        <w:rPr>
          <w:rFonts w:ascii="Times New Roman"/>
        </w:rPr>
      </w:r>
    </w:p>
    <w:p>
      <w:pPr>
        <w:pStyle w:val="BodyText"/>
        <w:spacing w:line="259" w:lineRule="auto" w:before="5"/>
        <w:ind w:left="1143" w:right="1226"/>
      </w:pPr>
      <w:r>
        <w:rPr>
          <w:color w:val="4B525D"/>
        </w:rPr>
        <w:t>Model Diplomacy is a free classroom simulation of either the U.S. National Security Council or the UN Security Council that takes place both online and in the classroom in a blended learning environment. It presents hypothetical situations based on real issues of the past and present. The case “Humanitarian Intervention in South Sudan” is all about the responsibility to protect doctrine, and “Dispute in the East China Sea” will see students discuss issues of sovereignty and nationalism.</w:t>
      </w:r>
    </w:p>
    <w:p>
      <w:pPr>
        <w:pStyle w:val="BodyText"/>
        <w:spacing w:before="4"/>
        <w:rPr>
          <w:sz w:val="22"/>
        </w:rPr>
      </w:pPr>
    </w:p>
    <w:p>
      <w:pPr>
        <w:pStyle w:val="BodyText"/>
        <w:ind w:left="1143"/>
      </w:pPr>
      <w:r>
        <w:rPr>
          <w:color w:val="4B525D"/>
        </w:rPr>
        <w:t>Access the </w:t>
      </w:r>
      <w:hyperlink r:id="rId10">
        <w:r>
          <w:rPr>
            <w:color w:val="538DD3"/>
            <w:u w:val="single" w:color="538DD3"/>
          </w:rPr>
          <w:t>Model Diplomacy</w:t>
        </w:r>
        <w:r>
          <w:rPr>
            <w:color w:val="538DD3"/>
          </w:rPr>
          <w:t> </w:t>
        </w:r>
        <w:r>
          <w:rPr>
            <w:color w:val="4B525D"/>
          </w:rPr>
          <w:t>website </w:t>
        </w:r>
      </w:hyperlink>
      <w:r>
        <w:rPr>
          <w:color w:val="4B525D"/>
        </w:rPr>
        <w:t>to use the following cases:</w:t>
      </w:r>
    </w:p>
    <w:p>
      <w:pPr>
        <w:pStyle w:val="ListParagraph"/>
        <w:numPr>
          <w:ilvl w:val="0"/>
          <w:numId w:val="1"/>
        </w:numPr>
        <w:tabs>
          <w:tab w:pos="1863" w:val="left" w:leader="none"/>
          <w:tab w:pos="1864" w:val="left" w:leader="none"/>
        </w:tabs>
        <w:spacing w:line="240" w:lineRule="auto" w:before="25" w:after="0"/>
        <w:ind w:left="1863" w:right="0" w:hanging="361"/>
        <w:jc w:val="left"/>
        <w:rPr>
          <w:sz w:val="20"/>
        </w:rPr>
      </w:pPr>
      <w:r>
        <w:rPr>
          <w:color w:val="4B525D"/>
          <w:sz w:val="20"/>
        </w:rPr>
        <w:t>Humanitarian Intervention in South</w:t>
      </w:r>
      <w:r>
        <w:rPr>
          <w:color w:val="4B525D"/>
          <w:spacing w:val="-1"/>
          <w:sz w:val="20"/>
        </w:rPr>
        <w:t> </w:t>
      </w:r>
      <w:r>
        <w:rPr>
          <w:color w:val="4B525D"/>
          <w:sz w:val="20"/>
        </w:rPr>
        <w:t>Sudan</w:t>
      </w:r>
    </w:p>
    <w:p>
      <w:pPr>
        <w:pStyle w:val="BodyText"/>
        <w:spacing w:line="259" w:lineRule="auto" w:before="21"/>
        <w:ind w:left="1863" w:right="972"/>
      </w:pPr>
      <w:r>
        <w:rPr>
          <w:color w:val="4B525D"/>
        </w:rPr>
        <w:t>The weakness of cease-fire agreements and the return of weather conditions favorable for warfare means that the South Sudanese face the threat of mass violence, reprisals, and possibly even genocide.</w:t>
      </w:r>
    </w:p>
    <w:p>
      <w:pPr>
        <w:pStyle w:val="ListParagraph"/>
        <w:numPr>
          <w:ilvl w:val="0"/>
          <w:numId w:val="1"/>
        </w:numPr>
        <w:tabs>
          <w:tab w:pos="1863" w:val="left" w:leader="none"/>
          <w:tab w:pos="1864" w:val="left" w:leader="none"/>
        </w:tabs>
        <w:spacing w:line="240" w:lineRule="auto" w:before="1" w:after="0"/>
        <w:ind w:left="1863" w:right="0" w:hanging="361"/>
        <w:jc w:val="left"/>
        <w:rPr>
          <w:sz w:val="20"/>
        </w:rPr>
      </w:pPr>
      <w:r>
        <w:rPr>
          <w:color w:val="4B525D"/>
          <w:sz w:val="20"/>
        </w:rPr>
        <w:t>Dispute in the East China</w:t>
      </w:r>
      <w:r>
        <w:rPr>
          <w:color w:val="4B525D"/>
          <w:spacing w:val="-2"/>
          <w:sz w:val="20"/>
        </w:rPr>
        <w:t> </w:t>
      </w:r>
      <w:r>
        <w:rPr>
          <w:color w:val="4B525D"/>
          <w:sz w:val="20"/>
        </w:rPr>
        <w:t>Sea</w:t>
      </w:r>
    </w:p>
    <w:p>
      <w:pPr>
        <w:pStyle w:val="BodyText"/>
        <w:spacing w:line="259" w:lineRule="auto" w:before="21"/>
        <w:ind w:left="1863" w:right="972"/>
      </w:pPr>
      <w:r>
        <w:rPr>
          <w:color w:val="4B525D"/>
        </w:rPr>
        <w:t>Japan and China exchange fire over the East China Sea in airspace above the Senkaku/Diaoyu Islands, five uninhabited islets claimed by both governments.</w:t>
      </w:r>
    </w:p>
    <w:sectPr>
      <w:type w:val="continuous"/>
      <w:pgSz w:w="12240" w:h="15840"/>
      <w:pgMar w:top="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aarlemmer MT">
    <w:altName w:val="Haarlemmer 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63" w:hanging="360"/>
      </w:pPr>
      <w:rPr>
        <w:rFonts w:hint="default" w:ascii="Arial" w:hAnsi="Arial" w:eastAsia="Arial" w:cs="Arial"/>
        <w:color w:val="4B525D"/>
        <w:w w:val="130"/>
        <w:sz w:val="20"/>
        <w:szCs w:val="20"/>
        <w:lang w:val="en-us" w:eastAsia="en-US" w:bidi="ar-SA"/>
      </w:rPr>
    </w:lvl>
    <w:lvl w:ilvl="1">
      <w:start w:val="0"/>
      <w:numFmt w:val="bullet"/>
      <w:lvlText w:val="•"/>
      <w:lvlJc w:val="left"/>
      <w:pPr>
        <w:ind w:left="2554" w:hanging="360"/>
      </w:pPr>
      <w:rPr>
        <w:rFonts w:hint="default"/>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3942" w:hanging="360"/>
      </w:pPr>
      <w:rPr>
        <w:rFonts w:hint="default"/>
        <w:lang w:val="en-us" w:eastAsia="en-US" w:bidi="ar-SA"/>
      </w:rPr>
    </w:lvl>
    <w:lvl w:ilvl="4">
      <w:start w:val="0"/>
      <w:numFmt w:val="bullet"/>
      <w:lvlText w:val="•"/>
      <w:lvlJc w:val="left"/>
      <w:pPr>
        <w:ind w:left="4636"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024" w:hanging="360"/>
      </w:pPr>
      <w:rPr>
        <w:rFonts w:hint="default"/>
        <w:lang w:val="en-us" w:eastAsia="en-US" w:bidi="ar-SA"/>
      </w:rPr>
    </w:lvl>
    <w:lvl w:ilvl="7">
      <w:start w:val="0"/>
      <w:numFmt w:val="bullet"/>
      <w:lvlText w:val="•"/>
      <w:lvlJc w:val="left"/>
      <w:pPr>
        <w:ind w:left="6718" w:hanging="360"/>
      </w:pPr>
      <w:rPr>
        <w:rFonts w:hint="default"/>
        <w:lang w:val="en-us" w:eastAsia="en-US" w:bidi="ar-SA"/>
      </w:rPr>
    </w:lvl>
    <w:lvl w:ilvl="8">
      <w:start w:val="0"/>
      <w:numFmt w:val="bullet"/>
      <w:lvlText w:val="•"/>
      <w:lvlJc w:val="left"/>
      <w:pPr>
        <w:ind w:left="74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arlemmer MT" w:hAnsi="Haarlemmer MT" w:eastAsia="Haarlemmer MT" w:cs="Haarlemmer MT"/>
      <w:lang w:val="en-us" w:eastAsia="en-US" w:bidi="ar-SA"/>
    </w:rPr>
  </w:style>
  <w:style w:styleId="BodyText" w:type="paragraph">
    <w:name w:val="Body Text"/>
    <w:basedOn w:val="Normal"/>
    <w:uiPriority w:val="1"/>
    <w:qFormat/>
    <w:pPr/>
    <w:rPr>
      <w:rFonts w:ascii="Haarlemmer MT" w:hAnsi="Haarlemmer MT" w:eastAsia="Haarlemmer MT" w:cs="Haarlemmer MT"/>
      <w:sz w:val="20"/>
      <w:szCs w:val="20"/>
      <w:lang w:val="en-us" w:eastAsia="en-US" w:bidi="ar-SA"/>
    </w:rPr>
  </w:style>
  <w:style w:styleId="ListParagraph" w:type="paragraph">
    <w:name w:val="List Paragraph"/>
    <w:basedOn w:val="Normal"/>
    <w:uiPriority w:val="1"/>
    <w:qFormat/>
    <w:pPr>
      <w:spacing w:before="1"/>
      <w:ind w:left="1863" w:hanging="361"/>
    </w:pPr>
    <w:rPr>
      <w:rFonts w:ascii="Haarlemmer MT" w:hAnsi="Haarlemmer MT" w:eastAsia="Haarlemmer MT" w:cs="Haarlemmer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modeldiplomacy.cfr.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Kellett</dc:creator>
  <dcterms:created xsi:type="dcterms:W3CDTF">2020-10-06T20:52:55Z</dcterms:created>
  <dcterms:modified xsi:type="dcterms:W3CDTF">2020-10-06T20:52:55Z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for Microsoft 365</vt:lpwstr>
  </property>
  <property fmtid="{D5CDD505-2E9C-101B-9397-08002B2CF9AE}" pid="4" name="LastSaved">
    <vt:filetime>2020-10-06T00:00:00Z</vt:filetime>
  </property>
</Properties>
</file>