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693pt;width:612pt;height:99pt;mso-position-horizontal-relative:page;mso-position-vertical-relative:page;z-index:15730176" coordorigin="0,13860" coordsize="12240,1980">
            <v:shape style="position:absolute;left:0;top:13860;width:12240;height:1980" coordorigin="0,13860" coordsize="12240,1980" path="m12240,13860l0,14903,0,15840,12240,15840,12240,13860xe" filled="true" fillcolor="#e8f5f6" stroked="false">
              <v:path arrowok="t"/>
              <v:fill type="solid"/>
            </v:shape>
            <v:shape style="position:absolute;left:11394;top:14910;width:75;height:176" type="#_x0000_t75" stroked="false">
              <v:imagedata r:id="rId5" o:title=""/>
            </v:shape>
            <w10:wrap type="none"/>
          </v:group>
        </w:pict>
      </w:r>
      <w:r>
        <w:rPr/>
        <w:pict>
          <v:group style="position:absolute;margin-left:0pt;margin-top:0pt;width:612pt;height:136.8pt;mso-position-horizontal-relative:page;mso-position-vertical-relative:page;z-index:-15766528" coordorigin="0,0" coordsize="12240,2736">
            <v:shape style="position:absolute;left:0;top:0;width:12240;height:2736" coordorigin="0,0" coordsize="12240,2736" path="m12240,0l0,0,0,2736,12240,1693,12240,0xe" filled="true" fillcolor="#e8f5f6" stroked="false">
              <v:path arrowok="t"/>
              <v:fill type="solid"/>
            </v:shape>
            <v:shape style="position:absolute;left:804;top:744;width:2255;height:647" type="#_x0000_t75" stroked="false">
              <v:imagedata r:id="rId6" o:title=""/>
            </v:shape>
            <v:shape style="position:absolute;left:4820;top:710;width:4364;height:452" type="#_x0000_t75" stroked="false">
              <v:imagedata r:id="rId7" o:title=""/>
            </v:shape>
            <v:shape style="position:absolute;left:9015;top:710;width:264;height:452" type="#_x0000_t75" stroked="false">
              <v:imagedata r:id="rId8" o:title=""/>
            </v:shape>
            <v:shape style="position:absolute;left:9147;top:710;width:2355;height:452" type="#_x0000_t75" stroked="false">
              <v:imagedata r:id="rId9"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after="1"/>
        <w:rPr>
          <w:rFonts w:ascii="Times New Roman"/>
        </w:rPr>
      </w:pPr>
    </w:p>
    <w:p>
      <w:pPr>
        <w:pStyle w:val="BodyText"/>
        <w:ind w:left="1160"/>
        <w:rPr>
          <w:rFonts w:ascii="Times New Roman"/>
        </w:rPr>
      </w:pPr>
      <w:r>
        <w:rPr>
          <w:rFonts w:ascii="Times New Roman"/>
        </w:rPr>
        <w:drawing>
          <wp:inline distT="0" distB="0" distL="0" distR="0">
            <wp:extent cx="840105" cy="222503"/>
            <wp:effectExtent l="0" t="0" r="0" b="0"/>
            <wp:docPr id="1" name="image6.png"/>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840105" cy="222503"/>
                    </a:xfrm>
                    <a:prstGeom prst="rect">
                      <a:avLst/>
                    </a:prstGeom>
                  </pic:spPr>
                </pic:pic>
              </a:graphicData>
            </a:graphic>
          </wp:inline>
        </w:drawing>
      </w:r>
      <w:r>
        <w:rPr>
          <w:rFonts w:ascii="Times New Roman"/>
        </w:rPr>
      </w:r>
    </w:p>
    <w:p>
      <w:pPr>
        <w:pStyle w:val="BodyText"/>
        <w:spacing w:before="3"/>
        <w:ind w:left="1155" w:right="1104"/>
      </w:pPr>
      <w:r>
        <w:rPr>
          <w:color w:val="4B525D"/>
        </w:rPr>
        <w:t>Students select examples of self-determination in the world today, present their findings in an infographic, and discuss patterns they discover.</w:t>
      </w:r>
    </w:p>
    <w:p>
      <w:pPr>
        <w:pStyle w:val="BodyText"/>
        <w:spacing w:before="11"/>
        <w:rPr>
          <w:sz w:val="17"/>
        </w:rPr>
      </w:pPr>
      <w:r>
        <w:rPr/>
        <w:drawing>
          <wp:anchor distT="0" distB="0" distL="0" distR="0" allowOverlap="1" layoutInCell="1" locked="0" behindDoc="0" simplePos="0" relativeHeight="0">
            <wp:simplePos x="0" y="0"/>
            <wp:positionH relativeFrom="page">
              <wp:posOffset>1829054</wp:posOffset>
            </wp:positionH>
            <wp:positionV relativeFrom="paragraph">
              <wp:posOffset>172131</wp:posOffset>
            </wp:positionV>
            <wp:extent cx="602742" cy="222503"/>
            <wp:effectExtent l="0" t="0" r="0" b="0"/>
            <wp:wrapTopAndBottom/>
            <wp:docPr id="3" name="image7.png"/>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602742" cy="222503"/>
                    </a:xfrm>
                    <a:prstGeom prst="rect">
                      <a:avLst/>
                    </a:prstGeom>
                  </pic:spPr>
                </pic:pic>
              </a:graphicData>
            </a:graphic>
          </wp:anchor>
        </w:drawing>
      </w:r>
    </w:p>
    <w:p>
      <w:pPr>
        <w:pStyle w:val="BodyText"/>
        <w:ind w:left="1141"/>
      </w:pPr>
      <w:r>
        <w:rPr>
          <w:color w:val="4B525D"/>
        </w:rPr>
        <w:t>Two-three classes</w:t>
      </w:r>
    </w:p>
    <w:p>
      <w:pPr>
        <w:pStyle w:val="BodyText"/>
        <w:spacing w:before="10"/>
        <w:rPr>
          <w:sz w:val="19"/>
        </w:rPr>
      </w:pPr>
      <w:r>
        <w:rPr/>
        <w:drawing>
          <wp:anchor distT="0" distB="0" distL="0" distR="0" allowOverlap="1" layoutInCell="1" locked="0" behindDoc="0" simplePos="0" relativeHeight="1">
            <wp:simplePos x="0" y="0"/>
            <wp:positionH relativeFrom="page">
              <wp:posOffset>1829054</wp:posOffset>
            </wp:positionH>
            <wp:positionV relativeFrom="paragraph">
              <wp:posOffset>188292</wp:posOffset>
            </wp:positionV>
            <wp:extent cx="777240" cy="222503"/>
            <wp:effectExtent l="0" t="0" r="0" b="0"/>
            <wp:wrapTopAndBottom/>
            <wp:docPr id="5" name="image8.png"/>
            <wp:cNvGraphicFramePr>
              <a:graphicFrameLocks noChangeAspect="1"/>
            </wp:cNvGraphicFramePr>
            <a:graphic>
              <a:graphicData uri="http://schemas.openxmlformats.org/drawingml/2006/picture">
                <pic:pic>
                  <pic:nvPicPr>
                    <pic:cNvPr id="6" name="image8.png"/>
                    <pic:cNvPicPr/>
                  </pic:nvPicPr>
                  <pic:blipFill>
                    <a:blip r:embed="rId12" cstate="print"/>
                    <a:stretch>
                      <a:fillRect/>
                    </a:stretch>
                  </pic:blipFill>
                  <pic:spPr>
                    <a:xfrm>
                      <a:off x="0" y="0"/>
                      <a:ext cx="777240" cy="222503"/>
                    </a:xfrm>
                    <a:prstGeom prst="rect">
                      <a:avLst/>
                    </a:prstGeom>
                  </pic:spPr>
                </pic:pic>
              </a:graphicData>
            </a:graphic>
          </wp:anchor>
        </w:drawing>
      </w:r>
    </w:p>
    <w:p>
      <w:pPr>
        <w:pStyle w:val="ListParagraph"/>
        <w:numPr>
          <w:ilvl w:val="0"/>
          <w:numId w:val="1"/>
        </w:numPr>
        <w:tabs>
          <w:tab w:pos="1861" w:val="left" w:leader="none"/>
          <w:tab w:pos="1862" w:val="left" w:leader="none"/>
        </w:tabs>
        <w:spacing w:line="240" w:lineRule="auto" w:before="0" w:after="0"/>
        <w:ind w:left="1861" w:right="0" w:hanging="361"/>
        <w:jc w:val="left"/>
        <w:rPr>
          <w:sz w:val="20"/>
        </w:rPr>
      </w:pPr>
      <w:hyperlink r:id="rId13">
        <w:r>
          <w:rPr>
            <w:color w:val="538DD3"/>
            <w:sz w:val="20"/>
            <w:u w:val="single" w:color="538DD3"/>
          </w:rPr>
          <w:t>How Self-Determination Shaped the Modern World</w:t>
        </w:r>
        <w:r>
          <w:rPr>
            <w:color w:val="538DD3"/>
            <w:spacing w:val="2"/>
            <w:sz w:val="20"/>
          </w:rPr>
          <w:t> </w:t>
        </w:r>
      </w:hyperlink>
      <w:r>
        <w:rPr>
          <w:color w:val="4B525D"/>
          <w:sz w:val="20"/>
        </w:rPr>
        <w:t>(World101)</w:t>
      </w:r>
    </w:p>
    <w:p>
      <w:pPr>
        <w:pStyle w:val="ListParagraph"/>
        <w:numPr>
          <w:ilvl w:val="0"/>
          <w:numId w:val="1"/>
        </w:numPr>
        <w:tabs>
          <w:tab w:pos="1861" w:val="left" w:leader="none"/>
          <w:tab w:pos="1862" w:val="left" w:leader="none"/>
        </w:tabs>
        <w:spacing w:line="240" w:lineRule="auto" w:before="21" w:after="0"/>
        <w:ind w:left="1861" w:right="0" w:hanging="361"/>
        <w:jc w:val="left"/>
        <w:rPr>
          <w:sz w:val="20"/>
        </w:rPr>
      </w:pPr>
      <w:r>
        <w:rPr>
          <w:color w:val="4B525D"/>
          <w:sz w:val="20"/>
        </w:rPr>
        <w:t>Arts materials, or graphics software such as</w:t>
      </w:r>
      <w:r>
        <w:rPr>
          <w:color w:val="538DD3"/>
          <w:sz w:val="20"/>
        </w:rPr>
        <w:t> </w:t>
      </w:r>
      <w:hyperlink r:id="rId14">
        <w:r>
          <w:rPr>
            <w:color w:val="538DD3"/>
            <w:sz w:val="20"/>
            <w:u w:val="single" w:color="538DD3"/>
          </w:rPr>
          <w:t>Piktochart</w:t>
        </w:r>
        <w:r>
          <w:rPr>
            <w:color w:val="538DD3"/>
            <w:sz w:val="20"/>
          </w:rPr>
          <w:t> </w:t>
        </w:r>
      </w:hyperlink>
      <w:r>
        <w:rPr>
          <w:color w:val="4B525D"/>
          <w:sz w:val="20"/>
        </w:rPr>
        <w:t>or</w:t>
      </w:r>
      <w:hyperlink r:id="rId15">
        <w:r>
          <w:rPr>
            <w:color w:val="538DD3"/>
            <w:spacing w:val="1"/>
            <w:sz w:val="20"/>
          </w:rPr>
          <w:t> </w:t>
        </w:r>
        <w:r>
          <w:rPr>
            <w:color w:val="538DD3"/>
            <w:sz w:val="20"/>
            <w:u w:val="single" w:color="538DD3"/>
          </w:rPr>
          <w:t>Venngage</w:t>
        </w:r>
      </w:hyperlink>
    </w:p>
    <w:p>
      <w:pPr>
        <w:pStyle w:val="ListParagraph"/>
        <w:numPr>
          <w:ilvl w:val="0"/>
          <w:numId w:val="1"/>
        </w:numPr>
        <w:tabs>
          <w:tab w:pos="1861" w:val="left" w:leader="none"/>
          <w:tab w:pos="1862" w:val="left" w:leader="none"/>
        </w:tabs>
        <w:spacing w:line="240" w:lineRule="auto" w:before="21" w:after="0"/>
        <w:ind w:left="1861" w:right="0" w:hanging="361"/>
        <w:jc w:val="left"/>
        <w:rPr>
          <w:sz w:val="20"/>
        </w:rPr>
      </w:pPr>
      <w:r>
        <w:rPr>
          <w:color w:val="4B525D"/>
          <w:sz w:val="20"/>
        </w:rPr>
        <w:t>Internet or library access for research</w:t>
      </w:r>
    </w:p>
    <w:p>
      <w:pPr>
        <w:pStyle w:val="BodyText"/>
        <w:spacing w:before="11"/>
      </w:pPr>
      <w:r>
        <w:rPr/>
        <w:drawing>
          <wp:anchor distT="0" distB="0" distL="0" distR="0" allowOverlap="1" layoutInCell="1" locked="0" behindDoc="0" simplePos="0" relativeHeight="2">
            <wp:simplePos x="0" y="0"/>
            <wp:positionH relativeFrom="page">
              <wp:posOffset>1829054</wp:posOffset>
            </wp:positionH>
            <wp:positionV relativeFrom="paragraph">
              <wp:posOffset>196974</wp:posOffset>
            </wp:positionV>
            <wp:extent cx="1359662" cy="222503"/>
            <wp:effectExtent l="0" t="0" r="0" b="0"/>
            <wp:wrapTopAndBottom/>
            <wp:docPr id="7" name="image9.png"/>
            <wp:cNvGraphicFramePr>
              <a:graphicFrameLocks noChangeAspect="1"/>
            </wp:cNvGraphicFramePr>
            <a:graphic>
              <a:graphicData uri="http://schemas.openxmlformats.org/drawingml/2006/picture">
                <pic:pic>
                  <pic:nvPicPr>
                    <pic:cNvPr id="8" name="image9.png"/>
                    <pic:cNvPicPr/>
                  </pic:nvPicPr>
                  <pic:blipFill>
                    <a:blip r:embed="rId16" cstate="print"/>
                    <a:stretch>
                      <a:fillRect/>
                    </a:stretch>
                  </pic:blipFill>
                  <pic:spPr>
                    <a:xfrm>
                      <a:off x="0" y="0"/>
                      <a:ext cx="1359662" cy="222503"/>
                    </a:xfrm>
                    <a:prstGeom prst="rect">
                      <a:avLst/>
                    </a:prstGeom>
                  </pic:spPr>
                </pic:pic>
              </a:graphicData>
            </a:graphic>
          </wp:anchor>
        </w:drawing>
      </w:r>
    </w:p>
    <w:p>
      <w:pPr>
        <w:pStyle w:val="ListParagraph"/>
        <w:numPr>
          <w:ilvl w:val="0"/>
          <w:numId w:val="2"/>
        </w:numPr>
        <w:tabs>
          <w:tab w:pos="1861" w:val="left" w:leader="none"/>
          <w:tab w:pos="1862" w:val="left" w:leader="none"/>
        </w:tabs>
        <w:spacing w:line="259" w:lineRule="auto" w:before="0" w:after="0"/>
        <w:ind w:left="1861" w:right="1417" w:hanging="360"/>
        <w:jc w:val="left"/>
        <w:rPr>
          <w:sz w:val="20"/>
        </w:rPr>
      </w:pPr>
      <w:r>
        <w:rPr>
          <w:color w:val="4B525D"/>
          <w:sz w:val="20"/>
        </w:rPr>
        <w:t>Have students read “How Self-Determination Shaped the</w:t>
      </w:r>
      <w:r>
        <w:rPr>
          <w:color w:val="4B525D"/>
          <w:spacing w:val="-25"/>
          <w:sz w:val="20"/>
        </w:rPr>
        <w:t> </w:t>
      </w:r>
      <w:r>
        <w:rPr>
          <w:color w:val="4B525D"/>
          <w:sz w:val="20"/>
        </w:rPr>
        <w:t>Modern World,”</w:t>
      </w:r>
      <w:r>
        <w:rPr>
          <w:color w:val="4B525D"/>
          <w:spacing w:val="-5"/>
          <w:sz w:val="20"/>
        </w:rPr>
        <w:t> </w:t>
      </w:r>
      <w:r>
        <w:rPr>
          <w:color w:val="4B525D"/>
          <w:sz w:val="20"/>
        </w:rPr>
        <w:t>noting</w:t>
      </w:r>
      <w:r>
        <w:rPr>
          <w:color w:val="4B525D"/>
          <w:spacing w:val="-3"/>
          <w:sz w:val="20"/>
        </w:rPr>
        <w:t> </w:t>
      </w:r>
      <w:r>
        <w:rPr>
          <w:color w:val="4B525D"/>
          <w:sz w:val="20"/>
        </w:rPr>
        <w:t>in</w:t>
      </w:r>
      <w:r>
        <w:rPr>
          <w:color w:val="4B525D"/>
          <w:spacing w:val="-5"/>
          <w:sz w:val="20"/>
        </w:rPr>
        <w:t> </w:t>
      </w:r>
      <w:r>
        <w:rPr>
          <w:color w:val="4B525D"/>
          <w:sz w:val="20"/>
        </w:rPr>
        <w:t>particular</w:t>
      </w:r>
      <w:r>
        <w:rPr>
          <w:color w:val="4B525D"/>
          <w:spacing w:val="-5"/>
          <w:sz w:val="20"/>
        </w:rPr>
        <w:t> </w:t>
      </w:r>
      <w:r>
        <w:rPr>
          <w:color w:val="4B525D"/>
          <w:sz w:val="20"/>
        </w:rPr>
        <w:t>the</w:t>
      </w:r>
      <w:r>
        <w:rPr>
          <w:color w:val="4B525D"/>
          <w:spacing w:val="-4"/>
          <w:sz w:val="20"/>
        </w:rPr>
        <w:t> </w:t>
      </w:r>
      <w:r>
        <w:rPr>
          <w:color w:val="4B525D"/>
          <w:sz w:val="20"/>
        </w:rPr>
        <w:t>central</w:t>
      </w:r>
      <w:r>
        <w:rPr>
          <w:color w:val="4B525D"/>
          <w:spacing w:val="-3"/>
          <w:sz w:val="20"/>
        </w:rPr>
        <w:t> </w:t>
      </w:r>
      <w:r>
        <w:rPr>
          <w:color w:val="4B525D"/>
          <w:sz w:val="20"/>
        </w:rPr>
        <w:t>questions</w:t>
      </w:r>
      <w:r>
        <w:rPr>
          <w:color w:val="4B525D"/>
          <w:spacing w:val="-5"/>
          <w:sz w:val="20"/>
        </w:rPr>
        <w:t> </w:t>
      </w:r>
      <w:r>
        <w:rPr>
          <w:color w:val="4B525D"/>
          <w:sz w:val="20"/>
        </w:rPr>
        <w:t>addressed:</w:t>
      </w:r>
      <w:r>
        <w:rPr>
          <w:color w:val="4B525D"/>
          <w:spacing w:val="-4"/>
          <w:sz w:val="20"/>
        </w:rPr>
        <w:t> </w:t>
      </w:r>
      <w:r>
        <w:rPr>
          <w:color w:val="4B525D"/>
          <w:sz w:val="20"/>
        </w:rPr>
        <w:t>What exactly do they want, and what is stopping them from getting it? What methods do they use to achieve their goals? And finally, how have other countries responded to calls for self-determination around the world?</w:t>
      </w:r>
    </w:p>
    <w:p>
      <w:pPr>
        <w:pStyle w:val="ListParagraph"/>
        <w:numPr>
          <w:ilvl w:val="0"/>
          <w:numId w:val="2"/>
        </w:numPr>
        <w:tabs>
          <w:tab w:pos="1861" w:val="left" w:leader="none"/>
          <w:tab w:pos="1862" w:val="left" w:leader="none"/>
        </w:tabs>
        <w:spacing w:line="259" w:lineRule="auto" w:before="0" w:after="0"/>
        <w:ind w:left="1861" w:right="1264" w:hanging="360"/>
        <w:jc w:val="left"/>
        <w:rPr>
          <w:sz w:val="20"/>
        </w:rPr>
      </w:pPr>
      <w:r>
        <w:rPr>
          <w:color w:val="4B525D"/>
          <w:sz w:val="20"/>
        </w:rPr>
        <w:t>Have them choose two examples of self-determination either from the</w:t>
      </w:r>
      <w:r>
        <w:rPr>
          <w:color w:val="4B525D"/>
          <w:spacing w:val="-3"/>
          <w:sz w:val="20"/>
        </w:rPr>
        <w:t> </w:t>
      </w:r>
      <w:r>
        <w:rPr>
          <w:color w:val="4B525D"/>
          <w:sz w:val="20"/>
        </w:rPr>
        <w:t>article</w:t>
      </w:r>
      <w:r>
        <w:rPr>
          <w:color w:val="4B525D"/>
          <w:spacing w:val="-3"/>
          <w:sz w:val="20"/>
        </w:rPr>
        <w:t> </w:t>
      </w:r>
      <w:r>
        <w:rPr>
          <w:color w:val="4B525D"/>
          <w:sz w:val="20"/>
        </w:rPr>
        <w:t>or other</w:t>
      </w:r>
      <w:r>
        <w:rPr>
          <w:color w:val="4B525D"/>
          <w:spacing w:val="-4"/>
          <w:sz w:val="20"/>
        </w:rPr>
        <w:t> </w:t>
      </w:r>
      <w:r>
        <w:rPr>
          <w:color w:val="4B525D"/>
          <w:sz w:val="20"/>
        </w:rPr>
        <w:t>sources,</w:t>
      </w:r>
      <w:r>
        <w:rPr>
          <w:color w:val="4B525D"/>
          <w:spacing w:val="-2"/>
          <w:sz w:val="20"/>
        </w:rPr>
        <w:t> </w:t>
      </w:r>
      <w:r>
        <w:rPr>
          <w:color w:val="4B525D"/>
          <w:sz w:val="20"/>
        </w:rPr>
        <w:t>and</w:t>
      </w:r>
      <w:r>
        <w:rPr>
          <w:color w:val="4B525D"/>
          <w:spacing w:val="-2"/>
          <w:sz w:val="20"/>
        </w:rPr>
        <w:t> </w:t>
      </w:r>
      <w:r>
        <w:rPr>
          <w:color w:val="4B525D"/>
          <w:sz w:val="20"/>
        </w:rPr>
        <w:t>select</w:t>
      </w:r>
      <w:r>
        <w:rPr>
          <w:color w:val="4B525D"/>
          <w:spacing w:val="-3"/>
          <w:sz w:val="20"/>
        </w:rPr>
        <w:t> </w:t>
      </w:r>
      <w:r>
        <w:rPr>
          <w:color w:val="4B525D"/>
          <w:sz w:val="20"/>
        </w:rPr>
        <w:t>one</w:t>
      </w:r>
      <w:r>
        <w:rPr>
          <w:color w:val="4B525D"/>
          <w:spacing w:val="-3"/>
          <w:sz w:val="20"/>
        </w:rPr>
        <w:t> </w:t>
      </w:r>
      <w:r>
        <w:rPr>
          <w:color w:val="4B525D"/>
          <w:sz w:val="20"/>
        </w:rPr>
        <w:t>of</w:t>
      </w:r>
      <w:r>
        <w:rPr>
          <w:color w:val="4B525D"/>
          <w:spacing w:val="-3"/>
          <w:sz w:val="20"/>
        </w:rPr>
        <w:t> </w:t>
      </w:r>
      <w:r>
        <w:rPr>
          <w:color w:val="4B525D"/>
          <w:sz w:val="20"/>
        </w:rPr>
        <w:t>the</w:t>
      </w:r>
      <w:r>
        <w:rPr>
          <w:color w:val="4B525D"/>
          <w:spacing w:val="-2"/>
          <w:sz w:val="20"/>
        </w:rPr>
        <w:t> </w:t>
      </w:r>
      <w:r>
        <w:rPr>
          <w:color w:val="4B525D"/>
          <w:sz w:val="20"/>
        </w:rPr>
        <w:t>central</w:t>
      </w:r>
      <w:r>
        <w:rPr>
          <w:color w:val="4B525D"/>
          <w:spacing w:val="-2"/>
          <w:sz w:val="20"/>
        </w:rPr>
        <w:t> </w:t>
      </w:r>
      <w:r>
        <w:rPr>
          <w:color w:val="4B525D"/>
          <w:sz w:val="20"/>
        </w:rPr>
        <w:t>questions</w:t>
      </w:r>
      <w:r>
        <w:rPr>
          <w:color w:val="4B525D"/>
          <w:spacing w:val="-4"/>
          <w:sz w:val="20"/>
        </w:rPr>
        <w:t> </w:t>
      </w:r>
      <w:r>
        <w:rPr>
          <w:color w:val="4B525D"/>
          <w:sz w:val="20"/>
        </w:rPr>
        <w:t>to examine.</w:t>
      </w:r>
    </w:p>
    <w:p>
      <w:pPr>
        <w:pStyle w:val="ListParagraph"/>
        <w:numPr>
          <w:ilvl w:val="0"/>
          <w:numId w:val="2"/>
        </w:numPr>
        <w:tabs>
          <w:tab w:pos="1861" w:val="left" w:leader="none"/>
          <w:tab w:pos="1862" w:val="left" w:leader="none"/>
        </w:tabs>
        <w:spacing w:line="259" w:lineRule="auto" w:before="0" w:after="0"/>
        <w:ind w:left="1861" w:right="1217" w:hanging="360"/>
        <w:jc w:val="left"/>
        <w:rPr>
          <w:sz w:val="20"/>
        </w:rPr>
      </w:pPr>
      <w:r>
        <w:rPr>
          <w:color w:val="4B525D"/>
          <w:sz w:val="20"/>
        </w:rPr>
        <w:t>Assign students to create an infographic comparing and contrasting their chosen examples of self-determination in light of the question they have chosen. You will probably find it helpful to review some sample</w:t>
      </w:r>
      <w:r>
        <w:rPr>
          <w:color w:val="4B525D"/>
          <w:spacing w:val="-4"/>
          <w:sz w:val="20"/>
        </w:rPr>
        <w:t> </w:t>
      </w:r>
      <w:r>
        <w:rPr>
          <w:color w:val="4B525D"/>
          <w:sz w:val="20"/>
        </w:rPr>
        <w:t>infographics</w:t>
      </w:r>
      <w:r>
        <w:rPr>
          <w:color w:val="4B525D"/>
          <w:spacing w:val="-5"/>
          <w:sz w:val="20"/>
        </w:rPr>
        <w:t> </w:t>
      </w:r>
      <w:r>
        <w:rPr>
          <w:color w:val="4B525D"/>
          <w:sz w:val="20"/>
        </w:rPr>
        <w:t>together</w:t>
      </w:r>
      <w:r>
        <w:rPr>
          <w:color w:val="4B525D"/>
          <w:spacing w:val="-2"/>
          <w:sz w:val="20"/>
        </w:rPr>
        <w:t> </w:t>
      </w:r>
      <w:r>
        <w:rPr>
          <w:color w:val="4B525D"/>
          <w:sz w:val="20"/>
        </w:rPr>
        <w:t>and</w:t>
      </w:r>
      <w:r>
        <w:rPr>
          <w:color w:val="4B525D"/>
          <w:spacing w:val="-3"/>
          <w:sz w:val="20"/>
        </w:rPr>
        <w:t> </w:t>
      </w:r>
      <w:r>
        <w:rPr>
          <w:color w:val="4B525D"/>
          <w:sz w:val="20"/>
        </w:rPr>
        <w:t>discuss</w:t>
      </w:r>
      <w:r>
        <w:rPr>
          <w:color w:val="4B525D"/>
          <w:spacing w:val="-5"/>
          <w:sz w:val="20"/>
        </w:rPr>
        <w:t> </w:t>
      </w:r>
      <w:r>
        <w:rPr>
          <w:color w:val="4B525D"/>
          <w:sz w:val="20"/>
        </w:rPr>
        <w:t>what</w:t>
      </w:r>
      <w:r>
        <w:rPr>
          <w:color w:val="4B525D"/>
          <w:spacing w:val="-3"/>
          <w:sz w:val="20"/>
        </w:rPr>
        <w:t> </w:t>
      </w:r>
      <w:r>
        <w:rPr>
          <w:color w:val="4B525D"/>
          <w:sz w:val="20"/>
        </w:rPr>
        <w:t>makes</w:t>
      </w:r>
      <w:r>
        <w:rPr>
          <w:color w:val="4B525D"/>
          <w:spacing w:val="-5"/>
          <w:sz w:val="20"/>
        </w:rPr>
        <w:t> </w:t>
      </w:r>
      <w:r>
        <w:rPr>
          <w:color w:val="4B525D"/>
          <w:sz w:val="20"/>
        </w:rPr>
        <w:t>them</w:t>
      </w:r>
      <w:r>
        <w:rPr>
          <w:color w:val="4B525D"/>
          <w:spacing w:val="-4"/>
          <w:sz w:val="20"/>
        </w:rPr>
        <w:t> </w:t>
      </w:r>
      <w:r>
        <w:rPr>
          <w:color w:val="4B525D"/>
          <w:sz w:val="20"/>
        </w:rPr>
        <w:t>effective.</w:t>
      </w:r>
    </w:p>
    <w:p>
      <w:pPr>
        <w:pStyle w:val="ListParagraph"/>
        <w:numPr>
          <w:ilvl w:val="0"/>
          <w:numId w:val="2"/>
        </w:numPr>
        <w:tabs>
          <w:tab w:pos="1862" w:val="left" w:leader="none"/>
        </w:tabs>
        <w:spacing w:line="259" w:lineRule="auto" w:before="0" w:after="0"/>
        <w:ind w:left="1861" w:right="1417" w:hanging="360"/>
        <w:jc w:val="both"/>
        <w:rPr>
          <w:sz w:val="20"/>
        </w:rPr>
      </w:pPr>
      <w:r>
        <w:rPr>
          <w:color w:val="4B525D"/>
          <w:sz w:val="20"/>
        </w:rPr>
        <w:t>Have students share their work and discuss: Can they generalize</w:t>
      </w:r>
      <w:r>
        <w:rPr>
          <w:color w:val="4B525D"/>
          <w:spacing w:val="-27"/>
          <w:sz w:val="20"/>
        </w:rPr>
        <w:t> </w:t>
      </w:r>
      <w:r>
        <w:rPr>
          <w:color w:val="4B525D"/>
          <w:sz w:val="20"/>
        </w:rPr>
        <w:t>at all? What methods have been most or least successful? Are certain goals easier to achieve than</w:t>
      </w:r>
      <w:r>
        <w:rPr>
          <w:color w:val="4B525D"/>
          <w:spacing w:val="-5"/>
          <w:sz w:val="20"/>
        </w:rPr>
        <w:t> </w:t>
      </w:r>
      <w:r>
        <w:rPr>
          <w:color w:val="4B525D"/>
          <w:sz w:val="20"/>
        </w:rPr>
        <w:t>others?</w:t>
      </w:r>
    </w:p>
    <w:sectPr>
      <w:type w:val="continuous"/>
      <w:pgSz w:w="12240" w:h="15840"/>
      <w:pgMar w:top="0" w:bottom="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aarlemmer MT">
    <w:altName w:val="Haarlemmer 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61" w:hanging="360"/>
        <w:jc w:val="left"/>
      </w:pPr>
      <w:rPr>
        <w:rFonts w:hint="default" w:ascii="Haarlemmer MT" w:hAnsi="Haarlemmer MT" w:eastAsia="Haarlemmer MT" w:cs="Haarlemmer MT"/>
        <w:color w:val="4B525D"/>
        <w:w w:val="99"/>
        <w:sz w:val="20"/>
        <w:szCs w:val="20"/>
        <w:lang w:val="en-us" w:eastAsia="en-US" w:bidi="ar-SA"/>
      </w:rPr>
    </w:lvl>
    <w:lvl w:ilvl="1">
      <w:start w:val="0"/>
      <w:numFmt w:val="bullet"/>
      <w:lvlText w:val="•"/>
      <w:lvlJc w:val="left"/>
      <w:pPr>
        <w:ind w:left="2554" w:hanging="360"/>
      </w:pPr>
      <w:rPr>
        <w:rFonts w:hint="default"/>
        <w:lang w:val="en-us" w:eastAsia="en-US" w:bidi="ar-SA"/>
      </w:rPr>
    </w:lvl>
    <w:lvl w:ilvl="2">
      <w:start w:val="0"/>
      <w:numFmt w:val="bullet"/>
      <w:lvlText w:val="•"/>
      <w:lvlJc w:val="left"/>
      <w:pPr>
        <w:ind w:left="3248" w:hanging="360"/>
      </w:pPr>
      <w:rPr>
        <w:rFonts w:hint="default"/>
        <w:lang w:val="en-us" w:eastAsia="en-US" w:bidi="ar-SA"/>
      </w:rPr>
    </w:lvl>
    <w:lvl w:ilvl="3">
      <w:start w:val="0"/>
      <w:numFmt w:val="bullet"/>
      <w:lvlText w:val="•"/>
      <w:lvlJc w:val="left"/>
      <w:pPr>
        <w:ind w:left="3942" w:hanging="360"/>
      </w:pPr>
      <w:rPr>
        <w:rFonts w:hint="default"/>
        <w:lang w:val="en-us" w:eastAsia="en-US" w:bidi="ar-SA"/>
      </w:rPr>
    </w:lvl>
    <w:lvl w:ilvl="4">
      <w:start w:val="0"/>
      <w:numFmt w:val="bullet"/>
      <w:lvlText w:val="•"/>
      <w:lvlJc w:val="left"/>
      <w:pPr>
        <w:ind w:left="4636"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024" w:hanging="360"/>
      </w:pPr>
      <w:rPr>
        <w:rFonts w:hint="default"/>
        <w:lang w:val="en-us" w:eastAsia="en-US" w:bidi="ar-SA"/>
      </w:rPr>
    </w:lvl>
    <w:lvl w:ilvl="7">
      <w:start w:val="0"/>
      <w:numFmt w:val="bullet"/>
      <w:lvlText w:val="•"/>
      <w:lvlJc w:val="left"/>
      <w:pPr>
        <w:ind w:left="6718" w:hanging="360"/>
      </w:pPr>
      <w:rPr>
        <w:rFonts w:hint="default"/>
        <w:lang w:val="en-us" w:eastAsia="en-US" w:bidi="ar-SA"/>
      </w:rPr>
    </w:lvl>
    <w:lvl w:ilvl="8">
      <w:start w:val="0"/>
      <w:numFmt w:val="bullet"/>
      <w:lvlText w:val="•"/>
      <w:lvlJc w:val="left"/>
      <w:pPr>
        <w:ind w:left="7412" w:hanging="360"/>
      </w:pPr>
      <w:rPr>
        <w:rFonts w:hint="default"/>
        <w:lang w:val="en-us" w:eastAsia="en-US" w:bidi="ar-SA"/>
      </w:rPr>
    </w:lvl>
  </w:abstractNum>
  <w:abstractNum w:abstractNumId="0">
    <w:multiLevelType w:val="hybridMultilevel"/>
    <w:lvl w:ilvl="0">
      <w:start w:val="0"/>
      <w:numFmt w:val="bullet"/>
      <w:lvlText w:val="•"/>
      <w:lvlJc w:val="left"/>
      <w:pPr>
        <w:ind w:left="1861" w:hanging="360"/>
      </w:pPr>
      <w:rPr>
        <w:rFonts w:hint="default" w:ascii="Arial" w:hAnsi="Arial" w:eastAsia="Arial" w:cs="Arial"/>
        <w:color w:val="4B525D"/>
        <w:w w:val="130"/>
        <w:sz w:val="20"/>
        <w:szCs w:val="20"/>
        <w:lang w:val="en-us" w:eastAsia="en-US" w:bidi="ar-SA"/>
      </w:rPr>
    </w:lvl>
    <w:lvl w:ilvl="1">
      <w:start w:val="0"/>
      <w:numFmt w:val="bullet"/>
      <w:lvlText w:val="•"/>
      <w:lvlJc w:val="left"/>
      <w:pPr>
        <w:ind w:left="2554" w:hanging="360"/>
      </w:pPr>
      <w:rPr>
        <w:rFonts w:hint="default"/>
        <w:lang w:val="en-us" w:eastAsia="en-US" w:bidi="ar-SA"/>
      </w:rPr>
    </w:lvl>
    <w:lvl w:ilvl="2">
      <w:start w:val="0"/>
      <w:numFmt w:val="bullet"/>
      <w:lvlText w:val="•"/>
      <w:lvlJc w:val="left"/>
      <w:pPr>
        <w:ind w:left="3248" w:hanging="360"/>
      </w:pPr>
      <w:rPr>
        <w:rFonts w:hint="default"/>
        <w:lang w:val="en-us" w:eastAsia="en-US" w:bidi="ar-SA"/>
      </w:rPr>
    </w:lvl>
    <w:lvl w:ilvl="3">
      <w:start w:val="0"/>
      <w:numFmt w:val="bullet"/>
      <w:lvlText w:val="•"/>
      <w:lvlJc w:val="left"/>
      <w:pPr>
        <w:ind w:left="3942" w:hanging="360"/>
      </w:pPr>
      <w:rPr>
        <w:rFonts w:hint="default"/>
        <w:lang w:val="en-us" w:eastAsia="en-US" w:bidi="ar-SA"/>
      </w:rPr>
    </w:lvl>
    <w:lvl w:ilvl="4">
      <w:start w:val="0"/>
      <w:numFmt w:val="bullet"/>
      <w:lvlText w:val="•"/>
      <w:lvlJc w:val="left"/>
      <w:pPr>
        <w:ind w:left="4636"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024" w:hanging="360"/>
      </w:pPr>
      <w:rPr>
        <w:rFonts w:hint="default"/>
        <w:lang w:val="en-us" w:eastAsia="en-US" w:bidi="ar-SA"/>
      </w:rPr>
    </w:lvl>
    <w:lvl w:ilvl="7">
      <w:start w:val="0"/>
      <w:numFmt w:val="bullet"/>
      <w:lvlText w:val="•"/>
      <w:lvlJc w:val="left"/>
      <w:pPr>
        <w:ind w:left="6718" w:hanging="360"/>
      </w:pPr>
      <w:rPr>
        <w:rFonts w:hint="default"/>
        <w:lang w:val="en-us" w:eastAsia="en-US" w:bidi="ar-SA"/>
      </w:rPr>
    </w:lvl>
    <w:lvl w:ilvl="8">
      <w:start w:val="0"/>
      <w:numFmt w:val="bullet"/>
      <w:lvlText w:val="•"/>
      <w:lvlJc w:val="left"/>
      <w:pPr>
        <w:ind w:left="741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aarlemmer MT" w:hAnsi="Haarlemmer MT" w:eastAsia="Haarlemmer MT" w:cs="Haarlemmer MT"/>
      <w:lang w:val="en-us" w:eastAsia="en-US" w:bidi="ar-SA"/>
    </w:rPr>
  </w:style>
  <w:style w:styleId="BodyText" w:type="paragraph">
    <w:name w:val="Body Text"/>
    <w:basedOn w:val="Normal"/>
    <w:uiPriority w:val="1"/>
    <w:qFormat/>
    <w:pPr/>
    <w:rPr>
      <w:rFonts w:ascii="Haarlemmer MT" w:hAnsi="Haarlemmer MT" w:eastAsia="Haarlemmer MT" w:cs="Haarlemmer MT"/>
      <w:sz w:val="20"/>
      <w:szCs w:val="20"/>
      <w:lang w:val="en-us" w:eastAsia="en-US" w:bidi="ar-SA"/>
    </w:rPr>
  </w:style>
  <w:style w:styleId="ListParagraph" w:type="paragraph">
    <w:name w:val="List Paragraph"/>
    <w:basedOn w:val="Normal"/>
    <w:uiPriority w:val="1"/>
    <w:qFormat/>
    <w:pPr>
      <w:ind w:left="1861" w:hanging="360"/>
    </w:pPr>
    <w:rPr>
      <w:rFonts w:ascii="Haarlemmer MT" w:hAnsi="Haarlemmer MT" w:eastAsia="Haarlemmer MT" w:cs="Haarlemmer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s://world101.cfr.org/how-world-works-and-sometimes-doesnt/building-blocks/how-self-determination-shaped-modern-world" TargetMode="External"/><Relationship Id="rId14" Type="http://schemas.openxmlformats.org/officeDocument/2006/relationships/hyperlink" Target="https://piktochart.com/" TargetMode="External"/><Relationship Id="rId15" Type="http://schemas.openxmlformats.org/officeDocument/2006/relationships/hyperlink" Target="https://venngage.com/" TargetMode="External"/><Relationship Id="rId16" Type="http://schemas.openxmlformats.org/officeDocument/2006/relationships/image" Target="media/image9.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Kellett</dc:creator>
  <dcterms:created xsi:type="dcterms:W3CDTF">2020-10-06T20:54:27Z</dcterms:created>
  <dcterms:modified xsi:type="dcterms:W3CDTF">2020-10-06T20:54:27Z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for Microsoft 365</vt:lpwstr>
  </property>
  <property fmtid="{D5CDD505-2E9C-101B-9397-08002B2CF9AE}" pid="4" name="LastSaved">
    <vt:filetime>2020-10-06T00:00:00Z</vt:filetime>
  </property>
</Properties>
</file>